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312" w:beforeLines="100" w:after="312" w:afterLines="100" w:line="240" w:lineRule="exact"/>
        <w:jc w:val="left"/>
        <w:rPr>
          <w:rFonts w:ascii="Arial" w:hAnsi="Arial" w:eastAsia="Arial Unicode MS" w:cs="Arial"/>
          <w:sz w:val="20"/>
          <w:szCs w:val="20"/>
        </w:rPr>
      </w:pPr>
      <w:r>
        <w:rPr>
          <w:rFonts w:hint="eastAsia" w:ascii="Arial" w:hAnsi="Arial" w:eastAsia="Arial Unicode MS" w:cs="Arial"/>
          <w:sz w:val="20"/>
          <w:szCs w:val="20"/>
        </w:rPr>
        <w:t>C</w:t>
      </w:r>
      <w:r>
        <w:rPr>
          <w:rFonts w:ascii="Arial" w:hAnsi="Arial" w:eastAsia="Arial Unicode MS" w:cs="Arial"/>
          <w:sz w:val="20"/>
          <w:szCs w:val="20"/>
        </w:rPr>
        <w:t>LINICAL RESEAPCH</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Arial" w:hAnsi="Arial" w:cs="Arial"/>
          <w:b/>
          <w:sz w:val="32"/>
          <w:szCs w:val="32"/>
        </w:rPr>
      </w:pPr>
      <w:r>
        <w:rPr>
          <w:rFonts w:hint="default" w:ascii="Arial" w:hAnsi="Arial" w:cs="Arial"/>
          <w:b/>
          <w:bCs/>
          <w:sz w:val="32"/>
          <w:szCs w:val="32"/>
        </w:rPr>
        <w:t xml:space="preserve">Therapeutic </w:t>
      </w:r>
      <w:r>
        <w:rPr>
          <w:rFonts w:hint="eastAsia" w:ascii="Arial" w:hAnsi="Arial" w:cs="Arial"/>
          <w:b/>
          <w:bCs/>
          <w:sz w:val="32"/>
          <w:szCs w:val="32"/>
          <w:lang w:val="en-US" w:eastAsia="zh-CN"/>
        </w:rPr>
        <w:t>E</w:t>
      </w:r>
      <w:r>
        <w:rPr>
          <w:rFonts w:hint="default" w:ascii="Arial" w:hAnsi="Arial" w:cs="Arial"/>
          <w:b/>
          <w:bCs/>
          <w:sz w:val="32"/>
          <w:szCs w:val="32"/>
        </w:rPr>
        <w:t xml:space="preserve">ffect of lipoic </w:t>
      </w:r>
      <w:r>
        <w:rPr>
          <w:rFonts w:hint="eastAsia" w:ascii="Arial" w:hAnsi="Arial" w:cs="Arial"/>
          <w:b/>
          <w:bCs/>
          <w:sz w:val="32"/>
          <w:szCs w:val="32"/>
          <w:lang w:val="en-US" w:eastAsia="zh-CN"/>
        </w:rPr>
        <w:t>A</w:t>
      </w:r>
      <w:r>
        <w:rPr>
          <w:rFonts w:hint="default" w:ascii="Arial" w:hAnsi="Arial" w:cs="Arial"/>
          <w:b/>
          <w:bCs/>
          <w:sz w:val="32"/>
          <w:szCs w:val="32"/>
        </w:rPr>
        <w:t xml:space="preserve">cid </w:t>
      </w:r>
      <w:r>
        <w:rPr>
          <w:rFonts w:hint="eastAsia" w:ascii="Arial" w:hAnsi="Arial" w:cs="Arial"/>
          <w:b/>
          <w:bCs/>
          <w:sz w:val="32"/>
          <w:szCs w:val="32"/>
          <w:lang w:val="en-US" w:eastAsia="zh-CN"/>
        </w:rPr>
        <w:t>I</w:t>
      </w:r>
      <w:r>
        <w:rPr>
          <w:rFonts w:hint="default" w:ascii="Arial" w:hAnsi="Arial" w:cs="Arial"/>
          <w:b/>
          <w:bCs/>
          <w:sz w:val="32"/>
          <w:szCs w:val="32"/>
        </w:rPr>
        <w:t xml:space="preserve">njection </w:t>
      </w:r>
      <w:r>
        <w:rPr>
          <w:rFonts w:hint="eastAsia" w:ascii="Arial" w:hAnsi="Arial" w:cs="Arial"/>
          <w:b/>
          <w:bCs/>
          <w:sz w:val="32"/>
          <w:szCs w:val="32"/>
          <w:lang w:val="en-US" w:eastAsia="zh-CN"/>
        </w:rPr>
        <w:t>I</w:t>
      </w:r>
      <w:r>
        <w:rPr>
          <w:rFonts w:hint="default" w:ascii="Arial" w:hAnsi="Arial" w:cs="Arial"/>
          <w:b/>
          <w:bCs/>
          <w:sz w:val="32"/>
          <w:szCs w:val="32"/>
        </w:rPr>
        <w:t xml:space="preserve">ntointo </w:t>
      </w:r>
      <w:r>
        <w:rPr>
          <w:rFonts w:hint="eastAsia" w:ascii="Arial" w:hAnsi="Arial" w:cs="Arial"/>
          <w:b/>
          <w:bCs/>
          <w:sz w:val="32"/>
          <w:szCs w:val="32"/>
          <w:lang w:val="en-US" w:eastAsia="zh-CN"/>
        </w:rPr>
        <w:t>P</w:t>
      </w:r>
      <w:r>
        <w:rPr>
          <w:rFonts w:hint="default" w:ascii="Arial" w:hAnsi="Arial" w:cs="Arial"/>
          <w:b/>
          <w:bCs/>
          <w:sz w:val="32"/>
          <w:szCs w:val="32"/>
        </w:rPr>
        <w:t xml:space="preserve">atients with </w:t>
      </w:r>
      <w:r>
        <w:rPr>
          <w:rFonts w:hint="eastAsia" w:ascii="Arial" w:hAnsi="Arial" w:cs="Arial"/>
          <w:b/>
          <w:bCs/>
          <w:sz w:val="32"/>
          <w:szCs w:val="32"/>
          <w:lang w:val="en-US" w:eastAsia="zh-CN"/>
        </w:rPr>
        <w:t>C</w:t>
      </w:r>
      <w:r>
        <w:rPr>
          <w:rFonts w:hint="default" w:ascii="Arial" w:hAnsi="Arial" w:cs="Arial"/>
          <w:b/>
          <w:bCs/>
          <w:sz w:val="32"/>
          <w:szCs w:val="32"/>
        </w:rPr>
        <w:t xml:space="preserve">erebral </w:t>
      </w:r>
      <w:r>
        <w:rPr>
          <w:rFonts w:hint="eastAsia" w:ascii="Arial" w:hAnsi="Arial" w:cs="Arial"/>
          <w:b/>
          <w:bCs/>
          <w:sz w:val="32"/>
          <w:szCs w:val="32"/>
          <w:lang w:val="en-US" w:eastAsia="zh-CN"/>
        </w:rPr>
        <w:t>I</w:t>
      </w:r>
      <w:r>
        <w:rPr>
          <w:rFonts w:hint="default" w:ascii="Arial" w:hAnsi="Arial" w:cs="Arial"/>
          <w:b/>
          <w:bCs/>
          <w:sz w:val="32"/>
          <w:szCs w:val="32"/>
        </w:rPr>
        <w:t xml:space="preserve">nfarction and its </w:t>
      </w:r>
      <w:r>
        <w:rPr>
          <w:rFonts w:hint="eastAsia" w:ascii="Arial" w:hAnsi="Arial" w:cs="Arial"/>
          <w:b/>
          <w:bCs/>
          <w:sz w:val="32"/>
          <w:szCs w:val="32"/>
          <w:lang w:val="en-US" w:eastAsia="zh-CN"/>
        </w:rPr>
        <w:t>E</w:t>
      </w:r>
      <w:r>
        <w:rPr>
          <w:rFonts w:hint="default" w:ascii="Arial" w:hAnsi="Arial" w:cs="Arial"/>
          <w:b/>
          <w:bCs/>
          <w:sz w:val="32"/>
          <w:szCs w:val="32"/>
        </w:rPr>
        <w:t xml:space="preserve">ffects on </w:t>
      </w:r>
      <w:r>
        <w:rPr>
          <w:rFonts w:hint="eastAsia" w:ascii="Arial" w:hAnsi="Arial" w:cs="Arial"/>
          <w:b/>
          <w:bCs/>
          <w:sz w:val="32"/>
          <w:szCs w:val="32"/>
          <w:lang w:val="en-US" w:eastAsia="zh-CN"/>
        </w:rPr>
        <w:t>I</w:t>
      </w:r>
      <w:r>
        <w:rPr>
          <w:rFonts w:hint="default" w:ascii="Arial" w:hAnsi="Arial" w:cs="Arial"/>
          <w:b/>
          <w:bCs/>
          <w:sz w:val="32"/>
          <w:szCs w:val="32"/>
        </w:rPr>
        <w:t xml:space="preserve">nflammatory </w:t>
      </w:r>
      <w:r>
        <w:rPr>
          <w:rFonts w:hint="eastAsia" w:ascii="Arial" w:hAnsi="Arial" w:cs="Arial"/>
          <w:b/>
          <w:bCs/>
          <w:sz w:val="32"/>
          <w:szCs w:val="32"/>
          <w:lang w:val="en-US" w:eastAsia="zh-CN"/>
        </w:rPr>
        <w:t>F</w:t>
      </w:r>
      <w:r>
        <w:rPr>
          <w:rFonts w:hint="default" w:ascii="Arial" w:hAnsi="Arial" w:cs="Arial"/>
          <w:b/>
          <w:bCs/>
          <w:sz w:val="32"/>
          <w:szCs w:val="32"/>
        </w:rPr>
        <w:t xml:space="preserve">actors and </w:t>
      </w:r>
      <w:r>
        <w:rPr>
          <w:rFonts w:hint="eastAsia" w:ascii="Arial" w:hAnsi="Arial" w:cs="Arial"/>
          <w:b/>
          <w:bCs/>
          <w:sz w:val="32"/>
          <w:szCs w:val="32"/>
          <w:lang w:val="en-US" w:eastAsia="zh-CN"/>
        </w:rPr>
        <w:t>O</w:t>
      </w:r>
      <w:r>
        <w:rPr>
          <w:rFonts w:hint="default" w:ascii="Arial" w:hAnsi="Arial" w:cs="Arial"/>
          <w:b/>
          <w:bCs/>
          <w:sz w:val="32"/>
          <w:szCs w:val="32"/>
        </w:rPr>
        <w:t xml:space="preserve">xidative </w:t>
      </w:r>
      <w:r>
        <w:rPr>
          <w:rFonts w:hint="eastAsia" w:ascii="Arial" w:hAnsi="Arial" w:cs="Arial"/>
          <w:b/>
          <w:bCs/>
          <w:sz w:val="32"/>
          <w:szCs w:val="32"/>
          <w:lang w:val="en-US" w:eastAsia="zh-CN"/>
        </w:rPr>
        <w:t>S</w:t>
      </w:r>
      <w:r>
        <w:rPr>
          <w:rFonts w:hint="default" w:ascii="Arial" w:hAnsi="Arial" w:cs="Arial"/>
          <w:b/>
          <w:bCs/>
          <w:sz w:val="32"/>
          <w:szCs w:val="32"/>
        </w:rPr>
        <w:t>tress</w:t>
      </w:r>
    </w:p>
    <w:p>
      <w:pPr>
        <w:widowControl/>
        <w:spacing w:before="312" w:beforeLines="100"/>
        <w:jc w:val="left"/>
        <w:rPr>
          <w:rFonts w:hint="default" w:ascii="Arial" w:hAnsi="Arial" w:eastAsia="Arial Unicode MS" w:cs="Arial"/>
          <w:sz w:val="20"/>
          <w:szCs w:val="20"/>
          <w:lang w:val="en-US" w:eastAsia="zh-CN"/>
        </w:rPr>
      </w:pPr>
      <w:r>
        <w:rPr>
          <w:rFonts w:hint="eastAsia" w:ascii="Arial" w:hAnsi="Arial" w:eastAsia="Arial Unicode MS" w:cs="Arial"/>
          <w:sz w:val="20"/>
          <w:szCs w:val="20"/>
          <w:lang w:val="en-US" w:eastAsia="zh-CN"/>
        </w:rPr>
        <w:t>Yuting Lu</w:t>
      </w:r>
      <w:r>
        <w:rPr>
          <w:rFonts w:hint="eastAsia" w:ascii="Arial" w:hAnsi="Arial" w:eastAsia="Arial Unicode MS" w:cs="Arial"/>
          <w:sz w:val="20"/>
          <w:szCs w:val="20"/>
          <w:vertAlign w:val="superscript"/>
          <w:lang w:val="en-US" w:eastAsia="zh-CN"/>
        </w:rPr>
        <w:t xml:space="preserve">1 </w:t>
      </w:r>
      <w:r>
        <w:rPr>
          <w:rFonts w:hint="eastAsia" w:ascii="Arial" w:hAnsi="Arial" w:eastAsia="Arial Unicode MS" w:cs="Arial"/>
          <w:sz w:val="20"/>
          <w:szCs w:val="20"/>
          <w:vertAlign w:val="baseline"/>
          <w:lang w:val="en-US" w:eastAsia="zh-CN"/>
        </w:rPr>
        <w:t>and</w:t>
      </w:r>
      <w:r>
        <w:rPr>
          <w:rFonts w:hint="eastAsia" w:ascii="Arial" w:hAnsi="Arial" w:eastAsia="Arial Unicode MS" w:cs="Arial"/>
          <w:sz w:val="20"/>
          <w:szCs w:val="20"/>
          <w:lang w:val="en-US" w:eastAsia="zh-CN"/>
        </w:rPr>
        <w:t xml:space="preserve"> Xibin Zhao</w:t>
      </w:r>
      <w:r>
        <w:rPr>
          <w:rFonts w:hint="eastAsia" w:ascii="Arial" w:hAnsi="Arial" w:eastAsia="Arial Unicode MS" w:cs="Arial"/>
          <w:sz w:val="20"/>
          <w:szCs w:val="20"/>
          <w:vertAlign w:val="superscript"/>
          <w:lang w:val="en-US" w:eastAsia="zh-CN"/>
        </w:rPr>
        <w:t>1,</w:t>
      </w:r>
      <w:r>
        <w:rPr>
          <w:rFonts w:hint="eastAsia" w:ascii="Arial" w:hAnsi="Arial" w:eastAsia="Arial Unicode MS" w:cs="Arial"/>
          <w:sz w:val="20"/>
          <w:szCs w:val="20"/>
          <w:lang w:val="en-US" w:eastAsia="zh-CN"/>
        </w:rPr>
        <w:t>*</w:t>
      </w:r>
    </w:p>
    <w:p>
      <w:pPr>
        <w:keepNext w:val="0"/>
        <w:keepLines w:val="0"/>
        <w:pageBreakBefore w:val="0"/>
        <w:widowControl/>
        <w:suppressLineNumbers w:val="0"/>
        <w:kinsoku/>
        <w:wordWrap/>
        <w:overflowPunct/>
        <w:topLinePunct w:val="0"/>
        <w:autoSpaceDE/>
        <w:autoSpaceDN w:val="0"/>
        <w:bidi w:val="0"/>
        <w:adjustRightInd/>
        <w:snapToGrid/>
        <w:spacing w:before="0" w:beforeAutospacing="0" w:after="937" w:afterLines="300" w:afterAutospacing="0"/>
        <w:ind w:left="0" w:right="0"/>
        <w:jc w:val="both"/>
        <w:textAlignment w:val="center"/>
        <w:rPr>
          <w:rFonts w:hint="default" w:ascii="Arial" w:hAnsi="Arial" w:eastAsia="Arial Unicode MS" w:cs="Arial"/>
          <w:sz w:val="20"/>
          <w:szCs w:val="20"/>
        </w:rPr>
      </w:pPr>
      <w:r>
        <w:rPr>
          <w:rFonts w:hint="eastAsia" w:ascii="Arial" w:hAnsi="Arial" w:eastAsia="微软雅黑" w:cs="Arial"/>
          <w:color w:val="000000"/>
          <w:kern w:val="0"/>
          <w:sz w:val="20"/>
          <w:szCs w:val="20"/>
          <w:vertAlign w:val="superscript"/>
          <w:lang w:val="en-US" w:eastAsia="zh-CN" w:bidi="ar"/>
        </w:rPr>
        <w:t>1</w:t>
      </w:r>
      <w:r>
        <w:rPr>
          <w:rFonts w:hint="default" w:ascii="Arial" w:hAnsi="Arial" w:eastAsia="微软雅黑" w:cs="Arial"/>
          <w:color w:val="000000"/>
          <w:kern w:val="0"/>
          <w:sz w:val="20"/>
          <w:szCs w:val="20"/>
          <w:lang w:val="en-US" w:eastAsia="zh-CN" w:bidi="ar"/>
        </w:rPr>
        <w:t>Jiaxing Hospital of Traditional Chinese Medicine</w:t>
      </w:r>
    </w:p>
    <w:p>
      <w:pPr>
        <w:widowControl/>
        <w:jc w:val="left"/>
        <w:rPr>
          <w:rFonts w:ascii="Arial" w:hAnsi="Arial" w:eastAsia="Arial Unicode MS" w:cs="Arial"/>
          <w:b/>
          <w:sz w:val="15"/>
          <w:szCs w:val="15"/>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64" w:gutter="0"/>
          <w:pgNumType w:fmt="decimal" w:start="7"/>
          <w:cols w:space="0" w:num="1"/>
          <w:titlePg/>
          <w:docGrid w:type="lines" w:linePitch="312" w:charSpace="0"/>
        </w:sectPr>
      </w:pPr>
    </w:p>
    <w:p>
      <w:pPr>
        <w:keepNext w:val="0"/>
        <w:keepLines w:val="0"/>
        <w:pageBreakBefore w:val="0"/>
        <w:widowControl/>
        <w:kinsoku/>
        <w:wordWrap/>
        <w:overflowPunct/>
        <w:topLinePunct w:val="0"/>
        <w:autoSpaceDE/>
        <w:autoSpaceDN/>
        <w:bidi w:val="0"/>
        <w:adjustRightInd/>
        <w:snapToGrid/>
        <w:jc w:val="left"/>
        <w:textAlignment w:val="auto"/>
        <w:rPr>
          <w:rFonts w:ascii="Arial" w:hAnsi="Arial" w:eastAsia="Arial Unicode MS" w:cs="Arial"/>
          <w:b/>
          <w:sz w:val="15"/>
          <w:szCs w:val="15"/>
        </w:rPr>
      </w:pPr>
      <w:r>
        <w:rPr>
          <w:rFonts w:ascii="Arial" w:hAnsi="Arial" w:eastAsia="Arial Unicode MS" w:cs="Arial"/>
          <w:b/>
          <w:sz w:val="15"/>
          <w:szCs w:val="15"/>
        </w:rPr>
        <w:t>Keywords</w:t>
      </w:r>
    </w:p>
    <w:p>
      <w:pPr>
        <w:keepNext w:val="0"/>
        <w:keepLines w:val="0"/>
        <w:pageBreakBefore w:val="0"/>
        <w:widowControl/>
        <w:kinsoku/>
        <w:wordWrap/>
        <w:overflowPunct/>
        <w:topLinePunct w:val="0"/>
        <w:autoSpaceDE/>
        <w:autoSpaceDN/>
        <w:bidi w:val="0"/>
        <w:adjustRightInd/>
        <w:snapToGrid/>
        <w:spacing w:after="625" w:afterLines="200"/>
        <w:jc w:val="left"/>
        <w:textAlignment w:val="auto"/>
        <w:rPr>
          <w:rFonts w:ascii="Arial" w:hAnsi="Arial" w:cs="Arial"/>
          <w:sz w:val="13"/>
          <w:szCs w:val="13"/>
        </w:rPr>
      </w:pPr>
      <w:r>
        <w:rPr>
          <w:rFonts w:hint="default" w:ascii="Arial" w:hAnsi="Arial" w:cs="Arial"/>
          <w:sz w:val="13"/>
          <w:szCs w:val="13"/>
        </w:rPr>
        <w:t>Lipoic acid</w:t>
      </w:r>
      <w:r>
        <w:rPr>
          <w:rFonts w:hint="eastAsia" w:ascii="Arial" w:hAnsi="Arial" w:cs="Arial"/>
          <w:sz w:val="13"/>
          <w:szCs w:val="13"/>
          <w:lang w:val="en-US" w:eastAsia="zh-CN"/>
        </w:rPr>
        <w:t>,</w:t>
      </w:r>
      <w:r>
        <w:rPr>
          <w:rFonts w:hint="default" w:ascii="Arial" w:hAnsi="Arial" w:cs="Arial"/>
          <w:b/>
          <w:bCs/>
          <w:sz w:val="13"/>
          <w:szCs w:val="13"/>
        </w:rPr>
        <w:t xml:space="preserve"> </w:t>
      </w:r>
      <w:r>
        <w:rPr>
          <w:rFonts w:hint="default" w:ascii="Arial" w:hAnsi="Arial" w:cs="Arial"/>
          <w:sz w:val="13"/>
          <w:szCs w:val="13"/>
        </w:rPr>
        <w:t>Cerebral infarction</w:t>
      </w:r>
      <w:r>
        <w:rPr>
          <w:rFonts w:hint="eastAsia" w:ascii="Arial" w:hAnsi="Arial" w:cs="Arial"/>
          <w:sz w:val="13"/>
          <w:szCs w:val="13"/>
          <w:lang w:val="en-US" w:eastAsia="zh-CN"/>
        </w:rPr>
        <w:t>,</w:t>
      </w:r>
      <w:r>
        <w:rPr>
          <w:rFonts w:hint="default" w:ascii="Arial" w:hAnsi="Arial" w:cs="Arial"/>
          <w:sz w:val="13"/>
          <w:szCs w:val="13"/>
        </w:rPr>
        <w:t xml:space="preserve"> Inflammatory factors</w:t>
      </w:r>
      <w:r>
        <w:rPr>
          <w:rFonts w:hint="eastAsia" w:ascii="Arial" w:hAnsi="Arial" w:cs="Arial"/>
          <w:sz w:val="13"/>
          <w:szCs w:val="13"/>
          <w:lang w:val="en-US" w:eastAsia="zh-CN"/>
        </w:rPr>
        <w:t>,</w:t>
      </w:r>
      <w:r>
        <w:rPr>
          <w:rFonts w:hint="default" w:ascii="Arial" w:hAnsi="Arial" w:cs="Arial"/>
          <w:sz w:val="13"/>
          <w:szCs w:val="13"/>
        </w:rPr>
        <w:t xml:space="preserve"> Oxidative stress</w:t>
      </w:r>
    </w:p>
    <w:p>
      <w:pPr>
        <w:keepNext w:val="0"/>
        <w:keepLines w:val="0"/>
        <w:pageBreakBefore w:val="0"/>
        <w:widowControl/>
        <w:kinsoku/>
        <w:wordWrap/>
        <w:overflowPunct/>
        <w:topLinePunct w:val="0"/>
        <w:autoSpaceDE/>
        <w:autoSpaceDN/>
        <w:bidi w:val="0"/>
        <w:adjustRightInd/>
        <w:snapToGrid/>
        <w:jc w:val="left"/>
        <w:textAlignment w:val="auto"/>
        <w:rPr>
          <w:rFonts w:ascii="Arial" w:hAnsi="Arial" w:eastAsia="Arial Unicode MS" w:cs="Arial"/>
          <w:b/>
          <w:sz w:val="15"/>
          <w:szCs w:val="15"/>
        </w:rPr>
      </w:pPr>
      <w:r>
        <w:rPr>
          <w:rFonts w:ascii="Arial" w:hAnsi="Arial" w:eastAsia="Arial Unicode MS" w:cs="Arial"/>
          <w:b/>
          <w:sz w:val="15"/>
          <w:szCs w:val="15"/>
        </w:rPr>
        <w:t>Correspondence</w:t>
      </w:r>
    </w:p>
    <w:p>
      <w:pPr>
        <w:keepNext w:val="0"/>
        <w:keepLines w:val="0"/>
        <w:pageBreakBefore w:val="0"/>
        <w:widowControl/>
        <w:suppressLineNumbers w:val="0"/>
        <w:kinsoku/>
        <w:wordWrap/>
        <w:overflowPunct/>
        <w:topLinePunct w:val="0"/>
        <w:autoSpaceDE/>
        <w:autoSpaceDN w:val="0"/>
        <w:bidi w:val="0"/>
        <w:adjustRightInd/>
        <w:snapToGrid/>
        <w:spacing w:before="0" w:beforeAutospacing="0" w:after="625" w:afterLines="200" w:afterAutospacing="0"/>
        <w:ind w:left="0" w:right="0"/>
        <w:jc w:val="both"/>
        <w:textAlignment w:val="center"/>
        <w:rPr>
          <w:rFonts w:hint="default" w:ascii="Arial" w:hAnsi="Arial" w:eastAsia="Arial Unicode MS" w:cs="Arial"/>
          <w:sz w:val="13"/>
          <w:szCs w:val="13"/>
          <w:lang w:val="en-US"/>
        </w:rPr>
      </w:pPr>
      <w:r>
        <w:rPr>
          <w:rFonts w:hint="eastAsia" w:ascii="Arial" w:hAnsi="Arial" w:eastAsia="Arial Unicode MS" w:cs="Arial"/>
          <w:sz w:val="13"/>
          <w:szCs w:val="13"/>
          <w:lang w:val="en-US" w:eastAsia="zh-CN"/>
        </w:rPr>
        <w:t>Xibin Zhao</w:t>
      </w:r>
      <w:r>
        <w:rPr>
          <w:rFonts w:ascii="Arial" w:hAnsi="Arial" w:eastAsia="Arial Unicode MS" w:cs="Arial"/>
          <w:sz w:val="13"/>
          <w:szCs w:val="13"/>
        </w:rPr>
        <w:t>,</w:t>
      </w:r>
      <w:r>
        <w:rPr>
          <w:rFonts w:hint="eastAsia" w:ascii="Arial" w:hAnsi="Arial" w:eastAsia="Arial Unicode MS" w:cs="Arial"/>
          <w:sz w:val="13"/>
          <w:szCs w:val="13"/>
          <w:lang w:val="en-US" w:eastAsia="zh-CN"/>
        </w:rPr>
        <w:t xml:space="preserve"> Jiaxing Traditional Chinese Medicine Hospital, No. 1501, Zhongshan East Road, Xinxing Street, Nanhu District, Jiaxing City, Zhejiang Province</w:t>
      </w:r>
      <w:r>
        <w:rPr>
          <w:rFonts w:hint="eastAsia" w:ascii="Arial" w:hAnsi="Arial" w:eastAsia="微软雅黑" w:cs="Arial"/>
          <w:color w:val="000000"/>
          <w:kern w:val="0"/>
          <w:sz w:val="13"/>
          <w:szCs w:val="13"/>
          <w:lang w:val="en-US" w:eastAsia="zh-CN" w:bidi="ar"/>
        </w:rPr>
        <w:t>.</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Arial" w:hAnsi="Arial" w:eastAsia="Arial Unicode MS" w:cs="Arial"/>
          <w:sz w:val="13"/>
          <w:szCs w:val="13"/>
          <w:lang w:val="en-US" w:eastAsia="zh-CN"/>
        </w:rPr>
      </w:pPr>
      <w:r>
        <w:rPr>
          <w:rFonts w:hint="default" w:ascii="Arial" w:hAnsi="Arial" w:eastAsia="微软雅黑" w:cs="Arial"/>
          <w:i w:val="0"/>
          <w:iCs w:val="0"/>
          <w:caps w:val="0"/>
          <w:spacing w:val="0"/>
          <w:sz w:val="13"/>
          <w:szCs w:val="13"/>
          <w:shd w:val="clear" w:fill="FFFFFF"/>
        </w:rPr>
        <w:t>Received:</w:t>
      </w:r>
      <w:r>
        <w:rPr>
          <w:rFonts w:hint="default" w:ascii="Arial" w:hAnsi="Arial" w:eastAsia="微软雅黑" w:cs="Arial"/>
          <w:i w:val="0"/>
          <w:iCs w:val="0"/>
          <w:caps w:val="0"/>
          <w:spacing w:val="0"/>
          <w:sz w:val="13"/>
          <w:szCs w:val="13"/>
          <w:shd w:val="clear" w:fill="FFFFFF"/>
          <w:lang w:val="en-US" w:eastAsia="zh-CN"/>
        </w:rPr>
        <w:t xml:space="preserve"> </w:t>
      </w:r>
      <w:r>
        <w:rPr>
          <w:rFonts w:hint="eastAsia" w:ascii="Arial" w:hAnsi="Arial" w:eastAsia="微软雅黑" w:cs="Arial"/>
          <w:i w:val="0"/>
          <w:iCs w:val="0"/>
          <w:caps w:val="0"/>
          <w:spacing w:val="0"/>
          <w:sz w:val="13"/>
          <w:szCs w:val="13"/>
          <w:shd w:val="clear" w:fill="FFFFFF"/>
          <w:lang w:val="en-US" w:eastAsia="zh-CN"/>
        </w:rPr>
        <w:t>5</w:t>
      </w:r>
      <w:r>
        <w:rPr>
          <w:rFonts w:hint="default" w:ascii="Arial" w:hAnsi="Arial" w:eastAsia="微软雅黑" w:cs="Arial"/>
          <w:i w:val="0"/>
          <w:iCs w:val="0"/>
          <w:caps w:val="0"/>
          <w:spacing w:val="0"/>
          <w:sz w:val="13"/>
          <w:szCs w:val="13"/>
          <w:shd w:val="clear" w:fill="FFFFFF"/>
        </w:rPr>
        <w:t xml:space="preserve"> </w:t>
      </w:r>
      <w:r>
        <w:rPr>
          <w:rFonts w:hint="eastAsia" w:ascii="Arial" w:hAnsi="Arial" w:eastAsia="微软雅黑" w:cs="Arial"/>
          <w:i w:val="0"/>
          <w:iCs w:val="0"/>
          <w:caps w:val="0"/>
          <w:spacing w:val="0"/>
          <w:sz w:val="13"/>
          <w:szCs w:val="13"/>
          <w:shd w:val="clear" w:fill="FFFFFF"/>
          <w:lang w:val="en-US" w:eastAsia="zh-CN"/>
        </w:rPr>
        <w:t>December</w:t>
      </w:r>
      <w:r>
        <w:rPr>
          <w:rFonts w:hint="default" w:ascii="Arial" w:hAnsi="Arial" w:eastAsia="微软雅黑" w:cs="Arial"/>
          <w:i w:val="0"/>
          <w:iCs w:val="0"/>
          <w:caps w:val="0"/>
          <w:spacing w:val="0"/>
          <w:sz w:val="13"/>
          <w:szCs w:val="13"/>
          <w:shd w:val="clear" w:fill="FFFFFF"/>
        </w:rPr>
        <w:t xml:space="preserve"> </w:t>
      </w:r>
      <w:r>
        <w:rPr>
          <w:rFonts w:hint="eastAsia" w:ascii="Arial" w:hAnsi="Arial" w:eastAsia="微软雅黑" w:cs="Arial"/>
          <w:i w:val="0"/>
          <w:iCs w:val="0"/>
          <w:caps w:val="0"/>
          <w:spacing w:val="0"/>
          <w:sz w:val="13"/>
          <w:szCs w:val="13"/>
          <w:shd w:val="clear" w:fill="FFFFFF"/>
          <w:lang w:val="en-US" w:eastAsia="zh-CN"/>
        </w:rPr>
        <w:t>2019</w:t>
      </w:r>
      <w:r>
        <w:rPr>
          <w:rFonts w:hint="default" w:ascii="Arial" w:hAnsi="Arial" w:eastAsia="微软雅黑" w:cs="Arial"/>
          <w:i w:val="0"/>
          <w:iCs w:val="0"/>
          <w:caps w:val="0"/>
          <w:spacing w:val="0"/>
          <w:sz w:val="13"/>
          <w:szCs w:val="13"/>
          <w:shd w:val="clear" w:fill="FFFFFF"/>
          <w:lang w:val="en-US" w:eastAsia="zh-CN"/>
        </w:rPr>
        <w:t>;</w:t>
      </w:r>
      <w:r>
        <w:rPr>
          <w:rFonts w:hint="default" w:ascii="Arial" w:hAnsi="Arial" w:eastAsia="微软雅黑" w:cs="Arial"/>
          <w:i w:val="0"/>
          <w:iCs w:val="0"/>
          <w:caps w:val="0"/>
          <w:spacing w:val="0"/>
          <w:sz w:val="13"/>
          <w:szCs w:val="13"/>
          <w:shd w:val="clear" w:fill="FFFFFF"/>
        </w:rPr>
        <w:t xml:space="preserve"> Accepted:</w:t>
      </w:r>
      <w:r>
        <w:rPr>
          <w:rFonts w:hint="default" w:ascii="Arial" w:hAnsi="Arial" w:eastAsia="微软雅黑" w:cs="Arial"/>
          <w:i w:val="0"/>
          <w:iCs w:val="0"/>
          <w:caps w:val="0"/>
          <w:spacing w:val="0"/>
          <w:sz w:val="13"/>
          <w:szCs w:val="13"/>
          <w:shd w:val="clear" w:fill="FFFFFF"/>
          <w:lang w:val="en-US" w:eastAsia="zh-CN"/>
        </w:rPr>
        <w:t xml:space="preserve"> </w:t>
      </w:r>
      <w:r>
        <w:rPr>
          <w:rFonts w:hint="eastAsia" w:ascii="Arial" w:hAnsi="Arial" w:eastAsia="微软雅黑" w:cs="Arial"/>
          <w:i w:val="0"/>
          <w:iCs w:val="0"/>
          <w:caps w:val="0"/>
          <w:spacing w:val="0"/>
          <w:sz w:val="13"/>
          <w:szCs w:val="13"/>
          <w:shd w:val="clear" w:fill="FFFFFF"/>
          <w:lang w:val="en-US" w:eastAsia="zh-CN"/>
        </w:rPr>
        <w:t>4</w:t>
      </w:r>
      <w:r>
        <w:rPr>
          <w:rFonts w:hint="default" w:ascii="Arial" w:hAnsi="Arial" w:eastAsia="微软雅黑" w:cs="Arial"/>
          <w:i w:val="0"/>
          <w:iCs w:val="0"/>
          <w:caps w:val="0"/>
          <w:spacing w:val="0"/>
          <w:sz w:val="13"/>
          <w:szCs w:val="13"/>
          <w:shd w:val="clear" w:fill="FFFFFF"/>
        </w:rPr>
        <w:t xml:space="preserve"> </w:t>
      </w:r>
      <w:r>
        <w:rPr>
          <w:rFonts w:hint="eastAsia" w:ascii="Arial" w:hAnsi="Arial" w:eastAsia="微软雅黑" w:cs="Arial"/>
          <w:i w:val="0"/>
          <w:iCs w:val="0"/>
          <w:caps w:val="0"/>
          <w:spacing w:val="0"/>
          <w:sz w:val="13"/>
          <w:szCs w:val="13"/>
          <w:shd w:val="clear" w:fill="FFFFFF"/>
          <w:lang w:val="en-US" w:eastAsia="zh-CN"/>
        </w:rPr>
        <w:t>January</w:t>
      </w:r>
      <w:r>
        <w:rPr>
          <w:rFonts w:hint="default" w:ascii="Arial" w:hAnsi="Arial" w:eastAsia="微软雅黑" w:cs="Arial"/>
          <w:i w:val="0"/>
          <w:iCs w:val="0"/>
          <w:caps w:val="0"/>
          <w:spacing w:val="0"/>
          <w:sz w:val="13"/>
          <w:szCs w:val="13"/>
          <w:shd w:val="clear" w:fill="FFFFFF"/>
        </w:rPr>
        <w:t xml:space="preserve"> 2020</w:t>
      </w:r>
      <w:r>
        <w:rPr>
          <w:rFonts w:hint="default" w:ascii="Arial" w:hAnsi="Arial" w:eastAsia="微软雅黑" w:cs="Arial"/>
          <w:i w:val="0"/>
          <w:iCs w:val="0"/>
          <w:caps w:val="0"/>
          <w:spacing w:val="0"/>
          <w:sz w:val="13"/>
          <w:szCs w:val="13"/>
          <w:shd w:val="clear" w:fill="FFFFFF"/>
          <w:lang w:val="en-US" w:eastAsia="zh-CN"/>
        </w:rPr>
        <w:t>;</w:t>
      </w:r>
      <w:r>
        <w:rPr>
          <w:rFonts w:hint="default" w:ascii="Arial" w:hAnsi="Arial" w:eastAsia="微软雅黑" w:cs="Arial"/>
          <w:i w:val="0"/>
          <w:iCs w:val="0"/>
          <w:caps w:val="0"/>
          <w:spacing w:val="0"/>
          <w:sz w:val="13"/>
          <w:szCs w:val="13"/>
          <w:shd w:val="clear" w:fill="FFFFFF"/>
        </w:rPr>
        <w:t xml:space="preserve"> Published online:</w:t>
      </w:r>
      <w:r>
        <w:rPr>
          <w:rFonts w:hint="default" w:ascii="Arial" w:hAnsi="Arial" w:eastAsia="微软雅黑" w:cs="Arial"/>
          <w:i w:val="0"/>
          <w:iCs w:val="0"/>
          <w:caps w:val="0"/>
          <w:spacing w:val="0"/>
          <w:sz w:val="13"/>
          <w:szCs w:val="13"/>
          <w:shd w:val="clear" w:fill="FFFFFF"/>
          <w:lang w:val="en-US" w:eastAsia="zh-CN"/>
        </w:rPr>
        <w:t xml:space="preserve"> </w:t>
      </w:r>
      <w:r>
        <w:rPr>
          <w:rFonts w:hint="eastAsia" w:ascii="Arial" w:hAnsi="Arial" w:eastAsia="微软雅黑" w:cs="Arial"/>
          <w:i w:val="0"/>
          <w:iCs w:val="0"/>
          <w:caps w:val="0"/>
          <w:spacing w:val="0"/>
          <w:sz w:val="13"/>
          <w:szCs w:val="13"/>
          <w:shd w:val="clear" w:fill="FFFFFF"/>
          <w:lang w:val="en-US" w:eastAsia="zh-CN"/>
        </w:rPr>
        <w:t>3</w:t>
      </w:r>
      <w:r>
        <w:rPr>
          <w:rFonts w:hint="default" w:ascii="Arial" w:hAnsi="Arial" w:eastAsia="微软雅黑" w:cs="Arial"/>
          <w:i w:val="0"/>
          <w:iCs w:val="0"/>
          <w:caps w:val="0"/>
          <w:spacing w:val="0"/>
          <w:sz w:val="13"/>
          <w:szCs w:val="13"/>
          <w:shd w:val="clear" w:fill="FFFFFF"/>
        </w:rPr>
        <w:t xml:space="preserve"> </w:t>
      </w:r>
      <w:r>
        <w:rPr>
          <w:rFonts w:hint="eastAsia" w:ascii="Arial" w:hAnsi="Arial" w:eastAsia="微软雅黑" w:cs="Arial"/>
          <w:i w:val="0"/>
          <w:iCs w:val="0"/>
          <w:caps w:val="0"/>
          <w:spacing w:val="0"/>
          <w:sz w:val="13"/>
          <w:szCs w:val="13"/>
          <w:shd w:val="clear" w:fill="FFFFFF"/>
          <w:lang w:val="en-US" w:eastAsia="zh-CN"/>
        </w:rPr>
        <w:t>February</w:t>
      </w:r>
      <w:r>
        <w:rPr>
          <w:rFonts w:hint="default" w:ascii="Arial" w:hAnsi="Arial" w:eastAsia="微软雅黑" w:cs="Arial"/>
          <w:i w:val="0"/>
          <w:iCs w:val="0"/>
          <w:caps w:val="0"/>
          <w:spacing w:val="0"/>
          <w:sz w:val="13"/>
          <w:szCs w:val="13"/>
          <w:shd w:val="clear" w:fill="FFFFFF"/>
        </w:rPr>
        <w:t xml:space="preserve"> 2020</w:t>
      </w:r>
    </w:p>
    <w:p>
      <w:pPr>
        <w:keepNext w:val="0"/>
        <w:keepLines w:val="0"/>
        <w:pageBreakBefore w:val="0"/>
        <w:widowControl/>
        <w:kinsoku/>
        <w:wordWrap/>
        <w:overflowPunct/>
        <w:topLinePunct w:val="0"/>
        <w:autoSpaceDE/>
        <w:autoSpaceDN/>
        <w:bidi w:val="0"/>
        <w:adjustRightInd/>
        <w:snapToGrid/>
        <w:spacing w:after="625" w:afterLines="200"/>
        <w:jc w:val="left"/>
        <w:textAlignment w:val="auto"/>
        <w:rPr>
          <w:rFonts w:hint="default" w:ascii="Arial" w:hAnsi="Arial" w:eastAsia="Arial Unicode MS" w:cs="Arial"/>
          <w:b/>
          <w:i/>
          <w:sz w:val="13"/>
          <w:szCs w:val="13"/>
          <w:lang w:val="en-US" w:eastAsia="zh-CN"/>
        </w:rPr>
      </w:pPr>
      <w:r>
        <w:rPr>
          <w:rFonts w:hint="eastAsia" w:ascii="Arial" w:hAnsi="Arial" w:eastAsia="Arial Unicode MS" w:cs="Arial"/>
          <w:b/>
          <w:i/>
          <w:sz w:val="13"/>
          <w:szCs w:val="13"/>
        </w:rPr>
        <w:t>Diagnostic Brain Medicine</w:t>
      </w:r>
      <w:r>
        <w:rPr>
          <w:rFonts w:ascii="Arial" w:hAnsi="Arial" w:eastAsia="Arial Unicode MS" w:cs="Arial"/>
          <w:sz w:val="13"/>
          <w:szCs w:val="13"/>
        </w:rPr>
        <w:t xml:space="preserve"> </w:t>
      </w:r>
      <w:r>
        <w:rPr>
          <w:rFonts w:hint="eastAsia" w:ascii="Arial" w:hAnsi="Arial" w:eastAsia="Arial Unicode MS" w:cs="Arial"/>
          <w:b/>
          <w:i/>
          <w:sz w:val="13"/>
          <w:szCs w:val="13"/>
          <w:lang w:val="en-US" w:eastAsia="zh-CN"/>
        </w:rPr>
        <w:t>2020</w:t>
      </w:r>
      <w:r>
        <w:rPr>
          <w:rFonts w:ascii="Arial" w:hAnsi="Arial" w:eastAsia="Arial Unicode MS" w:cs="Arial"/>
          <w:b/>
          <w:i/>
          <w:sz w:val="13"/>
          <w:szCs w:val="13"/>
        </w:rPr>
        <w:t>; 1(</w:t>
      </w:r>
      <w:r>
        <w:rPr>
          <w:rFonts w:hint="eastAsia" w:ascii="Arial" w:hAnsi="Arial" w:eastAsia="Arial Unicode MS" w:cs="Arial"/>
          <w:b/>
          <w:i/>
          <w:sz w:val="13"/>
          <w:szCs w:val="13"/>
          <w:lang w:val="en-US" w:eastAsia="zh-CN"/>
        </w:rPr>
        <w:t>1</w:t>
      </w:r>
      <w:r>
        <w:rPr>
          <w:rFonts w:ascii="Arial" w:hAnsi="Arial" w:eastAsia="Arial Unicode MS" w:cs="Arial"/>
          <w:b/>
          <w:i/>
          <w:sz w:val="13"/>
          <w:szCs w:val="13"/>
        </w:rPr>
        <w:t xml:space="preserve">): </w:t>
      </w:r>
      <w:r>
        <w:rPr>
          <w:rFonts w:hint="eastAsia" w:ascii="Arial" w:hAnsi="Arial" w:eastAsia="Arial Unicode MS" w:cs="Arial"/>
          <w:b/>
          <w:i/>
          <w:sz w:val="13"/>
          <w:szCs w:val="13"/>
          <w:lang w:val="en-US" w:eastAsia="zh-CN"/>
        </w:rPr>
        <w:t>32-37</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Arial" w:hAnsi="Arial" w:eastAsia="Arial Unicode MS" w:cs="Arial"/>
          <w:b/>
          <w:i/>
          <w:sz w:val="13"/>
          <w:szCs w:val="13"/>
          <w:lang w:val="en-US" w:eastAsia="zh-CN"/>
        </w:rPr>
      </w:pPr>
    </w:p>
    <w:p>
      <w:pPr>
        <w:keepNext w:val="0"/>
        <w:keepLines w:val="0"/>
        <w:pageBreakBefore w:val="0"/>
        <w:kinsoku/>
        <w:wordWrap/>
        <w:overflowPunct/>
        <w:topLinePunct w:val="0"/>
        <w:autoSpaceDE/>
        <w:autoSpaceDN/>
        <w:bidi w:val="0"/>
        <w:adjustRightInd/>
        <w:snapToGrid/>
        <w:spacing w:line="240" w:lineRule="auto"/>
        <w:textAlignment w:val="auto"/>
        <w:rPr>
          <w:rFonts w:hint="eastAsia" w:ascii="Arial" w:hAnsi="Arial" w:eastAsia="Arial Unicode MS" w:cs="Arial"/>
          <w:b/>
          <w:i/>
          <w:sz w:val="13"/>
          <w:szCs w:val="13"/>
          <w:lang w:val="en-US" w:eastAsia="zh-CN"/>
        </w:rPr>
      </w:pPr>
    </w:p>
    <w:p>
      <w:pPr>
        <w:keepNext w:val="0"/>
        <w:keepLines w:val="0"/>
        <w:pageBreakBefore w:val="0"/>
        <w:kinsoku/>
        <w:wordWrap/>
        <w:overflowPunct/>
        <w:topLinePunct w:val="0"/>
        <w:autoSpaceDE/>
        <w:autoSpaceDN/>
        <w:bidi w:val="0"/>
        <w:adjustRightInd/>
        <w:snapToGrid/>
        <w:spacing w:line="240" w:lineRule="auto"/>
        <w:textAlignment w:val="auto"/>
        <w:rPr>
          <w:rFonts w:hint="eastAsia" w:ascii="Arial" w:hAnsi="Arial" w:eastAsia="Arial Unicode MS" w:cs="Arial"/>
          <w:b/>
          <w:i/>
          <w:sz w:val="13"/>
          <w:szCs w:val="13"/>
          <w:lang w:val="en-US" w:eastAsia="zh-CN"/>
        </w:rPr>
      </w:pPr>
    </w:p>
    <w:p>
      <w:pPr>
        <w:keepNext w:val="0"/>
        <w:keepLines w:val="0"/>
        <w:pageBreakBefore w:val="0"/>
        <w:kinsoku/>
        <w:wordWrap/>
        <w:overflowPunct/>
        <w:topLinePunct w:val="0"/>
        <w:autoSpaceDE/>
        <w:autoSpaceDN/>
        <w:bidi w:val="0"/>
        <w:adjustRightInd/>
        <w:snapToGrid/>
        <w:spacing w:line="240" w:lineRule="auto"/>
        <w:textAlignment w:val="auto"/>
        <w:rPr>
          <w:rFonts w:hint="eastAsia" w:ascii="Arial" w:hAnsi="Arial" w:eastAsia="Arial Unicode MS" w:cs="Arial"/>
          <w:b/>
          <w:i/>
          <w:sz w:val="13"/>
          <w:szCs w:val="13"/>
          <w:lang w:val="en-US" w:eastAsia="zh-CN"/>
        </w:rPr>
      </w:pPr>
    </w:p>
    <w:p>
      <w:pPr>
        <w:keepNext w:val="0"/>
        <w:keepLines w:val="0"/>
        <w:pageBreakBefore w:val="0"/>
        <w:kinsoku/>
        <w:wordWrap/>
        <w:overflowPunct/>
        <w:topLinePunct w:val="0"/>
        <w:autoSpaceDE/>
        <w:autoSpaceDN/>
        <w:bidi w:val="0"/>
        <w:adjustRightInd/>
        <w:snapToGrid/>
        <w:spacing w:line="240" w:lineRule="auto"/>
        <w:textAlignment w:val="auto"/>
        <w:rPr>
          <w:rFonts w:hint="eastAsia" w:ascii="Arial" w:hAnsi="Arial" w:eastAsia="Arial Unicode MS" w:cs="Arial"/>
          <w:b/>
          <w:i/>
          <w:sz w:val="13"/>
          <w:szCs w:val="13"/>
          <w:lang w:val="en-US" w:eastAsia="zh-CN"/>
        </w:rPr>
      </w:pPr>
    </w:p>
    <w:p>
      <w:pPr>
        <w:keepNext w:val="0"/>
        <w:keepLines w:val="0"/>
        <w:pageBreakBefore w:val="0"/>
        <w:kinsoku/>
        <w:wordWrap/>
        <w:overflowPunct/>
        <w:topLinePunct w:val="0"/>
        <w:autoSpaceDE/>
        <w:autoSpaceDN/>
        <w:bidi w:val="0"/>
        <w:adjustRightInd/>
        <w:snapToGrid/>
        <w:spacing w:line="240" w:lineRule="auto"/>
        <w:textAlignment w:val="auto"/>
        <w:rPr>
          <w:rFonts w:hint="eastAsia" w:ascii="Arial" w:hAnsi="Arial" w:eastAsia="Arial Unicode MS" w:cs="Arial"/>
          <w:b/>
          <w:i/>
          <w:sz w:val="13"/>
          <w:szCs w:val="13"/>
          <w:lang w:val="en-US" w:eastAsia="zh-CN"/>
        </w:rPr>
      </w:pPr>
    </w:p>
    <w:p>
      <w:pPr>
        <w:keepNext w:val="0"/>
        <w:keepLines w:val="0"/>
        <w:pageBreakBefore w:val="0"/>
        <w:kinsoku/>
        <w:wordWrap/>
        <w:overflowPunct/>
        <w:topLinePunct w:val="0"/>
        <w:autoSpaceDE/>
        <w:autoSpaceDN/>
        <w:bidi w:val="0"/>
        <w:adjustRightInd/>
        <w:snapToGrid/>
        <w:spacing w:line="240" w:lineRule="auto"/>
        <w:textAlignment w:val="auto"/>
        <w:rPr>
          <w:rFonts w:hint="eastAsia" w:ascii="Arial" w:hAnsi="Arial" w:eastAsia="Arial Unicode MS" w:cs="Arial"/>
          <w:b/>
          <w:i/>
          <w:sz w:val="13"/>
          <w:szCs w:val="13"/>
          <w:lang w:val="en-US" w:eastAsia="zh-CN"/>
        </w:rPr>
      </w:pPr>
    </w:p>
    <w:p>
      <w:pPr>
        <w:keepNext w:val="0"/>
        <w:keepLines w:val="0"/>
        <w:pageBreakBefore w:val="0"/>
        <w:kinsoku/>
        <w:wordWrap/>
        <w:overflowPunct/>
        <w:topLinePunct w:val="0"/>
        <w:autoSpaceDE/>
        <w:autoSpaceDN/>
        <w:bidi w:val="0"/>
        <w:adjustRightInd/>
        <w:snapToGrid/>
        <w:spacing w:line="240" w:lineRule="auto"/>
        <w:textAlignment w:val="auto"/>
        <w:rPr>
          <w:rFonts w:hint="eastAsia" w:ascii="Arial" w:hAnsi="Arial" w:eastAsia="Arial Unicode MS" w:cs="Arial"/>
          <w:b/>
          <w:i/>
          <w:sz w:val="13"/>
          <w:szCs w:val="13"/>
          <w:lang w:val="en-US" w:eastAsia="zh-CN"/>
        </w:rPr>
      </w:pPr>
    </w:p>
    <w:p>
      <w:pPr>
        <w:keepNext w:val="0"/>
        <w:keepLines w:val="0"/>
        <w:pageBreakBefore w:val="0"/>
        <w:kinsoku/>
        <w:wordWrap/>
        <w:overflowPunct/>
        <w:topLinePunct w:val="0"/>
        <w:autoSpaceDE/>
        <w:autoSpaceDN/>
        <w:bidi w:val="0"/>
        <w:adjustRightInd/>
        <w:snapToGrid/>
        <w:spacing w:line="240" w:lineRule="auto"/>
        <w:textAlignment w:val="auto"/>
        <w:rPr>
          <w:rFonts w:hint="eastAsia" w:ascii="Arial" w:hAnsi="Arial" w:eastAsia="Arial Unicode MS" w:cs="Arial"/>
          <w:b/>
          <w:i/>
          <w:sz w:val="13"/>
          <w:szCs w:val="13"/>
          <w:lang w:val="en-US" w:eastAsia="zh-CN"/>
        </w:rPr>
      </w:pPr>
    </w:p>
    <w:p>
      <w:pPr>
        <w:keepNext w:val="0"/>
        <w:keepLines w:val="0"/>
        <w:pageBreakBefore w:val="0"/>
        <w:kinsoku/>
        <w:wordWrap/>
        <w:overflowPunct/>
        <w:topLinePunct w:val="0"/>
        <w:autoSpaceDE/>
        <w:autoSpaceDN/>
        <w:bidi w:val="0"/>
        <w:adjustRightInd/>
        <w:snapToGrid/>
        <w:spacing w:line="240" w:lineRule="auto"/>
        <w:textAlignment w:val="auto"/>
        <w:rPr>
          <w:rFonts w:hint="eastAsia" w:ascii="Arial" w:hAnsi="Arial" w:eastAsia="Arial Unicode MS" w:cs="Arial"/>
          <w:b/>
          <w:i/>
          <w:sz w:val="13"/>
          <w:szCs w:val="13"/>
          <w:lang w:val="en-US" w:eastAsia="zh-CN"/>
        </w:rPr>
      </w:pPr>
    </w:p>
    <w:p>
      <w:pPr>
        <w:keepNext w:val="0"/>
        <w:keepLines w:val="0"/>
        <w:pageBreakBefore w:val="0"/>
        <w:kinsoku/>
        <w:wordWrap/>
        <w:overflowPunct/>
        <w:topLinePunct w:val="0"/>
        <w:autoSpaceDE/>
        <w:autoSpaceDN/>
        <w:bidi w:val="0"/>
        <w:adjustRightInd/>
        <w:snapToGrid/>
        <w:spacing w:line="240" w:lineRule="auto"/>
        <w:textAlignment w:val="auto"/>
        <w:rPr>
          <w:rFonts w:hint="eastAsia" w:ascii="Arial" w:hAnsi="Arial" w:eastAsia="Arial Unicode MS" w:cs="Arial"/>
          <w:b/>
          <w:i/>
          <w:sz w:val="13"/>
          <w:szCs w:val="13"/>
          <w:lang w:val="en-US" w:eastAsia="zh-CN"/>
        </w:rPr>
      </w:pPr>
    </w:p>
    <w:p>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s="Times New Roman"/>
          <w:b/>
          <w:bCs/>
          <w:sz w:val="18"/>
          <w:szCs w:val="18"/>
        </w:rPr>
      </w:pPr>
      <w:r>
        <w:rPr>
          <w:rFonts w:hint="eastAsia" w:ascii="Arial" w:hAnsi="Arial" w:eastAsia="Arial Unicode MS" w:cs="Arial"/>
          <w:b/>
          <w:i/>
          <w:sz w:val="13"/>
          <w:szCs w:val="13"/>
          <w:lang w:val="en-US" w:eastAsia="zh-CN"/>
        </w:rPr>
        <w:br w:type="column"/>
      </w:r>
      <w:r>
        <w:rPr>
          <w:rFonts w:hint="default" w:ascii="Times New Roman" w:hAnsi="Times New Roman" w:cs="Times New Roman"/>
          <w:b/>
          <w:bCs/>
          <w:sz w:val="18"/>
          <w:szCs w:val="18"/>
        </w:rPr>
        <w:t>Abstract</w:t>
      </w:r>
    </w:p>
    <w:p>
      <w:pPr>
        <w:keepNext w:val="0"/>
        <w:keepLines w:val="0"/>
        <w:pageBreakBefore w:val="0"/>
        <w:widowControl/>
        <w:kinsoku/>
        <w:wordWrap/>
        <w:overflowPunct/>
        <w:topLinePunct w:val="0"/>
        <w:autoSpaceDE/>
        <w:autoSpaceDN/>
        <w:bidi w:val="0"/>
        <w:adjustRightInd/>
        <w:snapToGrid/>
        <w:spacing w:after="625" w:afterLines="200"/>
        <w:jc w:val="both"/>
        <w:textAlignment w:val="auto"/>
        <w:rPr>
          <w:rFonts w:hint="default" w:ascii="Times New Roman" w:hAnsi="Times New Roman" w:cs="Times New Roman"/>
          <w:sz w:val="18"/>
          <w:szCs w:val="18"/>
        </w:rPr>
      </w:pPr>
      <w:r>
        <w:rPr>
          <w:rFonts w:hint="default" w:ascii="Times New Roman" w:hAnsi="Times New Roman" w:cs="Times New Roman"/>
          <w:b/>
          <w:bCs/>
          <w:sz w:val="18"/>
          <w:szCs w:val="18"/>
        </w:rPr>
        <w:t xml:space="preserve">Objective </w:t>
      </w:r>
      <w:r>
        <w:rPr>
          <w:rFonts w:hint="default" w:ascii="Times New Roman" w:hAnsi="Times New Roman" w:cs="Times New Roman"/>
          <w:sz w:val="18"/>
          <w:szCs w:val="18"/>
        </w:rPr>
        <w:t>To analyze the</w:t>
      </w:r>
      <w:r>
        <w:rPr>
          <w:rFonts w:hint="default" w:ascii="Times New Roman" w:hAnsi="Times New Roman" w:cs="Times New Roman"/>
          <w:b/>
          <w:bCs/>
          <w:sz w:val="18"/>
          <w:szCs w:val="18"/>
        </w:rPr>
        <w:t xml:space="preserve"> </w:t>
      </w:r>
      <w:r>
        <w:rPr>
          <w:rFonts w:hint="default" w:ascii="Times New Roman" w:hAnsi="Times New Roman" w:cs="Times New Roman"/>
          <w:sz w:val="18"/>
          <w:szCs w:val="18"/>
        </w:rPr>
        <w:t>therapeutic effect of lipoic acid injection on patients with cerebral infarction and its effects on inflammatory factors and oxidative stress.</w:t>
      </w:r>
      <w:r>
        <w:rPr>
          <w:rFonts w:hint="default" w:ascii="Times New Roman" w:hAnsi="Times New Roman" w:cs="Times New Roman"/>
          <w:b/>
          <w:bCs/>
          <w:sz w:val="18"/>
          <w:szCs w:val="18"/>
        </w:rPr>
        <w:t xml:space="preserve"> Methods </w:t>
      </w:r>
      <w:r>
        <w:rPr>
          <w:rFonts w:hint="default" w:ascii="Times New Roman" w:hAnsi="Times New Roman" w:cs="Times New Roman"/>
          <w:sz w:val="18"/>
          <w:szCs w:val="18"/>
        </w:rPr>
        <w:t xml:space="preserve">A total of 110 patients with cerebral infarction who were treated in our hospital from </w:t>
      </w:r>
      <w:r>
        <w:rPr>
          <w:rFonts w:hint="default" w:ascii="Times New Roman" w:hAnsi="Times New Roman" w:cs="Times New Roman"/>
          <w:color w:val="000000" w:themeColor="text1"/>
          <w:sz w:val="18"/>
          <w:szCs w:val="18"/>
          <w14:textFill>
            <w14:solidFill>
              <w14:schemeClr w14:val="tx1"/>
            </w14:solidFill>
          </w14:textFill>
        </w:rPr>
        <w:t>June 2018 to June 2020</w:t>
      </w:r>
      <w:r>
        <w:rPr>
          <w:rFonts w:hint="default" w:ascii="Times New Roman" w:hAnsi="Times New Roman" w:cs="Times New Roman"/>
          <w:color w:val="FF0000"/>
          <w:sz w:val="18"/>
          <w:szCs w:val="18"/>
        </w:rPr>
        <w:t xml:space="preserve"> </w:t>
      </w:r>
      <w:r>
        <w:rPr>
          <w:rFonts w:hint="default" w:ascii="Times New Roman" w:hAnsi="Times New Roman" w:cs="Times New Roman"/>
          <w:sz w:val="18"/>
          <w:szCs w:val="18"/>
        </w:rPr>
        <w:t>were selected as the research subjects. All the 110 patients were randomly divided into observation group (n=55) and control group (n=55) according to the random number table method. The patients in the control group were treated with routine therapy, while those in the observation group were treated with lipoic acid injection on the basis of the control group. The clinical efficacy, levels of inflammatory factors [interleukin-6 (IL-6), interleukin-8 (IL-8), soluble intercellular adhesion molecule-1 (sICAM-1)] and oxidative stress indexes [total antioxidant capacity (T-AOC), malondialdehyde (MDA)] were compared between the two groups.</w:t>
      </w:r>
      <w:r>
        <w:rPr>
          <w:rFonts w:hint="default" w:ascii="Times New Roman" w:hAnsi="Times New Roman" w:cs="Times New Roman"/>
          <w:b/>
          <w:bCs/>
          <w:color w:val="FF0000"/>
          <w:sz w:val="18"/>
          <w:szCs w:val="18"/>
        </w:rPr>
        <w:t xml:space="preserve"> </w:t>
      </w:r>
      <w:r>
        <w:rPr>
          <w:rFonts w:hint="default" w:ascii="Times New Roman" w:hAnsi="Times New Roman" w:cs="Times New Roman"/>
          <w:b/>
          <w:bCs/>
          <w:sz w:val="18"/>
          <w:szCs w:val="18"/>
        </w:rPr>
        <w:t>Results</w:t>
      </w:r>
      <w:r>
        <w:rPr>
          <w:rFonts w:hint="default" w:ascii="Times New Roman" w:hAnsi="Times New Roman" w:cs="Times New Roman"/>
          <w:sz w:val="18"/>
          <w:szCs w:val="18"/>
        </w:rPr>
        <w:t xml:space="preserve"> The total effective rate of the observation group was significantly higher than that of the control group (</w:t>
      </w:r>
      <w:r>
        <w:rPr>
          <w:rFonts w:hint="default" w:ascii="Times New Roman" w:hAnsi="Times New Roman" w:cs="Times New Roman"/>
          <w:i/>
          <w:iCs/>
          <w:sz w:val="18"/>
          <w:szCs w:val="18"/>
        </w:rPr>
        <w:t>P</w:t>
      </w:r>
      <w:r>
        <w:rPr>
          <w:rFonts w:hint="default" w:ascii="Times New Roman" w:hAnsi="Times New Roman" w:cs="Times New Roman"/>
          <w:sz w:val="18"/>
          <w:szCs w:val="18"/>
        </w:rPr>
        <w:t>&lt;0.05). After treatment, the levels of IL-6, IL-8 and sICAM-1 in the two groups were significantly lower than those before treatment (</w:t>
      </w:r>
      <w:r>
        <w:rPr>
          <w:rFonts w:hint="default" w:ascii="Times New Roman" w:hAnsi="Times New Roman" w:cs="Times New Roman"/>
          <w:i/>
          <w:iCs/>
          <w:sz w:val="18"/>
          <w:szCs w:val="18"/>
        </w:rPr>
        <w:t>P</w:t>
      </w:r>
      <w:r>
        <w:rPr>
          <w:rFonts w:hint="default" w:ascii="Times New Roman" w:hAnsi="Times New Roman" w:cs="Times New Roman"/>
          <w:sz w:val="18"/>
          <w:szCs w:val="18"/>
        </w:rPr>
        <w:t>&lt;0.05), and the levels of IL-6, IL-8 and sICAM-1 were greatly lower in the observation group than those in the control group (</w:t>
      </w:r>
      <w:r>
        <w:rPr>
          <w:rFonts w:hint="default" w:ascii="Times New Roman" w:hAnsi="Times New Roman" w:cs="Times New Roman"/>
          <w:i/>
          <w:iCs/>
          <w:sz w:val="18"/>
          <w:szCs w:val="18"/>
        </w:rPr>
        <w:t>P</w:t>
      </w:r>
      <w:r>
        <w:rPr>
          <w:rFonts w:hint="default" w:ascii="Times New Roman" w:hAnsi="Times New Roman" w:cs="Times New Roman"/>
          <w:sz w:val="18"/>
          <w:szCs w:val="18"/>
        </w:rPr>
        <w:t>&lt;0.05). Also, after treatment, the level of T-AOC (</w:t>
      </w:r>
      <w:r>
        <w:rPr>
          <w:rFonts w:hint="default" w:ascii="Times New Roman" w:hAnsi="Times New Roman" w:cs="Times New Roman"/>
          <w:i/>
          <w:iCs/>
          <w:sz w:val="18"/>
          <w:szCs w:val="18"/>
        </w:rPr>
        <w:t>P</w:t>
      </w:r>
      <w:r>
        <w:rPr>
          <w:rFonts w:hint="default" w:ascii="Times New Roman" w:hAnsi="Times New Roman" w:cs="Times New Roman"/>
          <w:sz w:val="18"/>
          <w:szCs w:val="18"/>
        </w:rPr>
        <w:t>&lt;0.05) and MAD (</w:t>
      </w:r>
      <w:r>
        <w:rPr>
          <w:rFonts w:hint="default" w:ascii="Times New Roman" w:hAnsi="Times New Roman" w:cs="Times New Roman"/>
          <w:i/>
          <w:iCs/>
          <w:sz w:val="18"/>
          <w:szCs w:val="18"/>
        </w:rPr>
        <w:t>P</w:t>
      </w:r>
      <w:r>
        <w:rPr>
          <w:rFonts w:hint="default" w:ascii="Times New Roman" w:hAnsi="Times New Roman" w:cs="Times New Roman"/>
          <w:sz w:val="18"/>
          <w:szCs w:val="18"/>
        </w:rPr>
        <w:t>&lt;0.05) in the two groups were significantly higher and lower than those before treatment (</w:t>
      </w:r>
      <w:r>
        <w:rPr>
          <w:rFonts w:hint="default" w:ascii="Times New Roman" w:hAnsi="Times New Roman" w:cs="Times New Roman"/>
          <w:i/>
          <w:iCs/>
          <w:sz w:val="18"/>
          <w:szCs w:val="18"/>
        </w:rPr>
        <w:t>P</w:t>
      </w:r>
      <w:r>
        <w:rPr>
          <w:rFonts w:hint="default" w:ascii="Times New Roman" w:hAnsi="Times New Roman" w:cs="Times New Roman"/>
          <w:sz w:val="18"/>
          <w:szCs w:val="18"/>
        </w:rPr>
        <w:t>&lt;0.05), respectively. Noticeably, the levels of T-AOC (</w:t>
      </w:r>
      <w:r>
        <w:rPr>
          <w:rFonts w:hint="default" w:ascii="Times New Roman" w:hAnsi="Times New Roman" w:cs="Times New Roman"/>
          <w:i/>
          <w:iCs/>
          <w:sz w:val="18"/>
          <w:szCs w:val="18"/>
        </w:rPr>
        <w:t>P</w:t>
      </w:r>
      <w:r>
        <w:rPr>
          <w:rFonts w:hint="default" w:ascii="Times New Roman" w:hAnsi="Times New Roman" w:cs="Times New Roman"/>
          <w:sz w:val="18"/>
          <w:szCs w:val="18"/>
        </w:rPr>
        <w:t>&lt;0.05) and MDA (</w:t>
      </w:r>
      <w:r>
        <w:rPr>
          <w:rFonts w:hint="default" w:ascii="Times New Roman" w:hAnsi="Times New Roman" w:cs="Times New Roman"/>
          <w:i/>
          <w:iCs/>
          <w:sz w:val="18"/>
          <w:szCs w:val="18"/>
        </w:rPr>
        <w:t>P</w:t>
      </w:r>
      <w:r>
        <w:rPr>
          <w:rFonts w:hint="default" w:ascii="Times New Roman" w:hAnsi="Times New Roman" w:cs="Times New Roman"/>
          <w:sz w:val="18"/>
          <w:szCs w:val="18"/>
        </w:rPr>
        <w:t>&lt;0.05) were greatly higher and lower in the observation group than those in the control group, respectively.</w:t>
      </w:r>
      <w:r>
        <w:rPr>
          <w:rFonts w:hint="default" w:ascii="Times New Roman" w:hAnsi="Times New Roman" w:cs="Times New Roman"/>
          <w:b/>
          <w:bCs/>
          <w:sz w:val="18"/>
          <w:szCs w:val="18"/>
        </w:rPr>
        <w:t xml:space="preserve"> Conclusion</w:t>
      </w:r>
      <w:r>
        <w:rPr>
          <w:rFonts w:hint="default" w:ascii="Times New Roman" w:hAnsi="Times New Roman" w:cs="Times New Roman"/>
          <w:sz w:val="18"/>
          <w:szCs w:val="18"/>
        </w:rPr>
        <w:t xml:space="preserve"> Lipoic acid injection was effective in treating patients with cerebral infarction, as it could not only reduce the release of inflammatory factors, but also improve the oxidative stress response of the body and promote the recovery of brain tissues.</w:t>
      </w:r>
    </w:p>
    <w:p>
      <w:pPr>
        <w:keepNext w:val="0"/>
        <w:keepLines w:val="0"/>
        <w:pageBreakBefore w:val="0"/>
        <w:widowControl/>
        <w:kinsoku/>
        <w:wordWrap/>
        <w:overflowPunct/>
        <w:topLinePunct w:val="0"/>
        <w:autoSpaceDE/>
        <w:autoSpaceDN/>
        <w:bidi w:val="0"/>
        <w:adjustRightInd/>
        <w:snapToGrid/>
        <w:jc w:val="both"/>
        <w:textAlignment w:val="auto"/>
        <w:rPr>
          <w:rFonts w:hint="eastAsia" w:ascii="Times New Roman" w:hAnsi="Times New Roman" w:cs="Times New Roman"/>
          <w:b/>
          <w:bCs/>
          <w:sz w:val="18"/>
          <w:szCs w:val="18"/>
          <w:lang w:val="en-US" w:eastAsia="zh-CN"/>
        </w:rPr>
        <w:sectPr>
          <w:headerReference r:id="rId10" w:type="first"/>
          <w:footerReference r:id="rId12" w:type="first"/>
          <w:headerReference r:id="rId9" w:type="even"/>
          <w:footerReference r:id="rId11" w:type="even"/>
          <w:type w:val="continuous"/>
          <w:pgSz w:w="11906" w:h="16838"/>
          <w:pgMar w:top="1440" w:right="1800" w:bottom="1440" w:left="1800" w:header="851" w:footer="992" w:gutter="0"/>
          <w:pgNumType w:fmt="decimal"/>
          <w:cols w:equalWidth="0" w:num="2">
            <w:col w:w="2484" w:space="427"/>
            <w:col w:w="5395"/>
          </w:cols>
          <w:titlePg/>
          <w:docGrid w:type="lines" w:linePitch="312" w:charSpace="0"/>
        </w:sectPr>
      </w:pPr>
    </w:p>
    <w:p>
      <w:pPr>
        <w:keepNext w:val="0"/>
        <w:keepLines w:val="0"/>
        <w:pageBreakBefore w:val="0"/>
        <w:widowControl/>
        <w:kinsoku/>
        <w:wordWrap/>
        <w:overflowPunct/>
        <w:topLinePunct w:val="0"/>
        <w:autoSpaceDE/>
        <w:autoSpaceDN/>
        <w:bidi w:val="0"/>
        <w:adjustRightInd/>
        <w:snapToGrid/>
        <w:jc w:val="both"/>
        <w:textAlignment w:val="auto"/>
        <w:rPr>
          <w:rFonts w:hint="eastAsia" w:ascii="Times New Roman" w:hAnsi="Times New Roman" w:cs="Times New Roman"/>
          <w:b/>
          <w:bCs/>
          <w:sz w:val="18"/>
          <w:szCs w:val="18"/>
          <w:lang w:val="en-US" w:eastAsia="zh-CN"/>
        </w:rPr>
      </w:pPr>
      <w:r>
        <w:rPr>
          <w:rFonts w:hint="eastAsia" w:ascii="Times New Roman" w:hAnsi="Times New Roman" w:cs="Times New Roman"/>
          <w:b/>
          <w:bCs/>
          <w:sz w:val="18"/>
          <w:szCs w:val="18"/>
          <w:lang w:val="en-US" w:eastAsia="zh-CN"/>
        </w:rPr>
        <w:t>Introduction</w:t>
      </w:r>
    </w:p>
    <w:p>
      <w:pPr>
        <w:keepNext w:val="0"/>
        <w:keepLines w:val="0"/>
        <w:pageBreakBefore w:val="0"/>
        <w:kinsoku/>
        <w:wordWrap/>
        <w:overflowPunct/>
        <w:topLinePunct w:val="0"/>
        <w:autoSpaceDE/>
        <w:autoSpaceDN/>
        <w:bidi w:val="0"/>
        <w:adjustRightInd/>
        <w:snapToGrid/>
        <w:spacing w:line="240" w:lineRule="auto"/>
        <w:rPr>
          <w:rFonts w:hint="eastAsia" w:ascii="Times New Roman" w:hAnsi="Times New Roman" w:eastAsia="宋体" w:cs="Times New Roman"/>
          <w:sz w:val="18"/>
          <w:szCs w:val="18"/>
          <w:lang w:val="en-US" w:eastAsia="zh-CN"/>
        </w:rPr>
      </w:pPr>
      <w:r>
        <w:rPr>
          <w:rFonts w:hint="default" w:ascii="Times New Roman" w:hAnsi="Times New Roman" w:cs="Times New Roman"/>
          <w:sz w:val="18"/>
          <w:szCs w:val="18"/>
        </w:rPr>
        <w:t>Cerebral infarction, also known as ischemic stroke, will result in brain blood circulation disorders, causing brain tissue ischemia, hypoxic necrosis or softening. Patients with cerebral infarction may appear coma, hemiplegia, language difficulties, and other nervous system functions that seriously affect the life quality of patients [1]. At present, the clinical treatments of patients with cerebral infarction are mainly conventional treatments such as improvement of cerebral blood circulation and anti-infection. Although these methods have shown great effect during clinical practice, the incidence of adverse drug reactions is still high [2], thus, it is necessary to explore more effective therapeutic drugs for the management of patients with cerebral infarction. As a strong antioxidant, lipoic acid can significantly attenuate the symptoms of cerebral edema in rats and the apoptosis of nerve cells to improve the nerve function of the rats [3]. In order to further explore the role of lipoic acid in patients with cerebral infarction, this study applied lipoic acid injection therapy on the basis of conventional treatment, aiming to improve the quality of clinical treatment and the prognosis of patients with cerebral infraction. The results of the study are reported as follows</w:t>
      </w:r>
      <w:r>
        <w:rPr>
          <w:rFonts w:hint="eastAsia" w:ascii="Times New Roman" w:hAnsi="Times New Roman" w:cs="Times New Roman"/>
          <w:sz w:val="18"/>
          <w:szCs w:val="18"/>
          <w:lang w:val="en-US" w:eastAsia="zh-CN"/>
        </w:rPr>
        <w:t>.</w:t>
      </w:r>
    </w:p>
    <w:p>
      <w:pPr>
        <w:keepNext w:val="0"/>
        <w:keepLines w:val="0"/>
        <w:pageBreakBefore w:val="0"/>
        <w:widowControl/>
        <w:kinsoku/>
        <w:wordWrap/>
        <w:overflowPunct/>
        <w:topLinePunct w:val="0"/>
        <w:autoSpaceDE/>
        <w:autoSpaceDN/>
        <w:bidi w:val="0"/>
        <w:adjustRightInd/>
        <w:snapToGrid/>
        <w:jc w:val="both"/>
        <w:textAlignment w:val="auto"/>
        <w:rPr>
          <w:rFonts w:hint="eastAsia" w:ascii="Times New Roman" w:hAnsi="Times New Roman" w:cs="Times New Roman"/>
          <w:b/>
          <w:bCs/>
          <w:sz w:val="18"/>
          <w:szCs w:val="18"/>
          <w:lang w:val="en-US" w:eastAsia="zh-CN"/>
        </w:rPr>
      </w:pP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b/>
          <w:sz w:val="18"/>
          <w:szCs w:val="18"/>
        </w:rPr>
      </w:pPr>
      <w:r>
        <w:rPr>
          <w:rFonts w:hint="default" w:ascii="Times New Roman" w:hAnsi="Times New Roman" w:cs="Times New Roman"/>
          <w:b/>
          <w:sz w:val="18"/>
          <w:szCs w:val="18"/>
        </w:rPr>
        <w:t>Materials and methods</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b/>
          <w:sz w:val="18"/>
          <w:szCs w:val="18"/>
        </w:rPr>
      </w:pPr>
      <w:r>
        <w:rPr>
          <w:rFonts w:hint="default" w:ascii="Times New Roman" w:hAnsi="Times New Roman" w:cs="Times New Roman"/>
          <w:b/>
          <w:sz w:val="18"/>
          <w:szCs w:val="18"/>
        </w:rPr>
        <w:t>General information</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r>
        <w:rPr>
          <w:rFonts w:hint="default" w:ascii="Times New Roman" w:hAnsi="Times New Roman" w:cs="Times New Roman"/>
          <w:b/>
          <w:sz w:val="18"/>
          <w:szCs w:val="18"/>
        </w:rPr>
        <w:t>The research subjects</w:t>
      </w:r>
      <w:r>
        <w:rPr>
          <w:rFonts w:hint="default" w:ascii="Times New Roman" w:hAnsi="Times New Roman" w:cs="Times New Roman"/>
          <w:sz w:val="18"/>
          <w:szCs w:val="18"/>
        </w:rPr>
        <w:t xml:space="preserve"> </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r>
        <w:rPr>
          <w:rFonts w:hint="default" w:ascii="Times New Roman" w:hAnsi="Times New Roman" w:cs="Times New Roman"/>
          <w:sz w:val="18"/>
          <w:szCs w:val="18"/>
        </w:rPr>
        <w:t>The 110 patients with cerebral infarction who were treated in our hospital from June 2018 to June 2020 were selected as the research objects, and they were divided into observation group and control group by random number table method, with each group containing 55 cases. In the control group, there were 27 male cases and 28 female cases aged 50-75 years old, with an average age of 63.24±7.55 years old and time from onset to consultation of 2-18 hours (average time of 12.30±4.16 hours). In observation group, there were 29 male patients and 26 female patients aged between 50 and 75 years old, with an average age of 62.78±7.38 years old and time from onset to consultation of 3-20 hours (average time of 12.98±4.72 hours). This study was approved by the Medical Rthics Committee of our hospital. All the patients volunteered to participate in the study and signed informed consent. The two groups of patients were not statistically different in gender, age, or time from onset to consultation (P&gt;0.05), thus, the data of the patients were comparable.</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b/>
          <w:sz w:val="18"/>
          <w:szCs w:val="18"/>
        </w:rPr>
      </w:pPr>
      <w:r>
        <w:rPr>
          <w:rFonts w:hint="default" w:ascii="Times New Roman" w:hAnsi="Times New Roman" w:cs="Times New Roman"/>
          <w:b/>
          <w:sz w:val="18"/>
          <w:szCs w:val="18"/>
        </w:rPr>
        <w:t>Inclusion and exclusion criteria</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r>
        <w:rPr>
          <w:rFonts w:hint="default" w:ascii="Times New Roman" w:hAnsi="Times New Roman" w:cs="Times New Roman"/>
          <w:sz w:val="18"/>
          <w:szCs w:val="18"/>
        </w:rPr>
        <w:t>Inclusion criteria: patients diagnosed with cerebral infarction after clinical diagnosis [4]. Exclusion criteria: those who fall into a coma and cannot cooperate with treatment; those who have serious diseases in important organs such as heart, liver, and kidney; those who have had brain diseases such as brain tumors, brain trauma, and cerebral hemorrhage; those who were allergic to the drugs used in this study.</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r>
        <w:rPr>
          <w:rFonts w:hint="default" w:ascii="Times New Roman" w:hAnsi="Times New Roman" w:cs="Times New Roman"/>
          <w:b/>
          <w:sz w:val="18"/>
          <w:szCs w:val="18"/>
        </w:rPr>
        <w:t>Methods</w:t>
      </w:r>
      <w:r>
        <w:rPr>
          <w:rFonts w:hint="default" w:ascii="Times New Roman" w:hAnsi="Times New Roman" w:cs="Times New Roman"/>
          <w:sz w:val="18"/>
          <w:szCs w:val="18"/>
        </w:rPr>
        <w:t xml:space="preserve"> </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r>
        <w:rPr>
          <w:rFonts w:hint="default" w:ascii="Times New Roman" w:hAnsi="Times New Roman" w:cs="Times New Roman"/>
          <w:sz w:val="18"/>
          <w:szCs w:val="18"/>
        </w:rPr>
        <w:t>①</w:t>
      </w:r>
      <w:r>
        <w:rPr>
          <w:rFonts w:hint="eastAsia" w:ascii="Times New Roman" w:hAnsi="Times New Roman" w:cs="Times New Roman"/>
          <w:sz w:val="18"/>
          <w:szCs w:val="18"/>
          <w:lang w:val="en-US" w:eastAsia="zh-CN"/>
        </w:rPr>
        <w:t xml:space="preserve"> </w:t>
      </w:r>
      <w:r>
        <w:rPr>
          <w:rFonts w:hint="default" w:ascii="Times New Roman" w:hAnsi="Times New Roman" w:cs="Times New Roman"/>
          <w:sz w:val="18"/>
          <w:szCs w:val="18"/>
        </w:rPr>
        <w:t>Control group: application of conventional treatments such as lowering intracranial pressure, regulating blood pressure, maintaining water and electrolyte balance, antiplatelet, improving blood circulation and anti-infection; ②</w:t>
      </w:r>
      <w:r>
        <w:rPr>
          <w:rFonts w:hint="eastAsia" w:ascii="Times New Roman" w:hAnsi="Times New Roman" w:cs="Times New Roman"/>
          <w:sz w:val="18"/>
          <w:szCs w:val="18"/>
          <w:lang w:val="en-US" w:eastAsia="zh-CN"/>
        </w:rPr>
        <w:t xml:space="preserve"> </w:t>
      </w:r>
      <w:r>
        <w:rPr>
          <w:rFonts w:hint="default" w:ascii="Times New Roman" w:hAnsi="Times New Roman" w:cs="Times New Roman"/>
          <w:sz w:val="18"/>
          <w:szCs w:val="18"/>
        </w:rPr>
        <w:t>observation group: application of intravenous infusion of lipoic acid on the basis of control group (250 mg of lipoic acid mixed with 100 ml of normal saline). The injection was performed once a day for a total of 4 weeks of treatment.</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r>
        <w:rPr>
          <w:rFonts w:hint="default" w:ascii="Times New Roman" w:hAnsi="Times New Roman" w:cs="Times New Roman"/>
          <w:b/>
          <w:sz w:val="18"/>
          <w:szCs w:val="18"/>
        </w:rPr>
        <w:t>Clinical efficacy</w:t>
      </w:r>
      <w:r>
        <w:rPr>
          <w:rFonts w:hint="default" w:ascii="Times New Roman" w:hAnsi="Times New Roman" w:cs="Times New Roman"/>
          <w:sz w:val="18"/>
          <w:szCs w:val="18"/>
        </w:rPr>
        <w:t xml:space="preserve"> </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r>
        <w:rPr>
          <w:rFonts w:hint="default" w:ascii="Times New Roman" w:hAnsi="Times New Roman" w:cs="Times New Roman"/>
          <w:sz w:val="18"/>
          <w:szCs w:val="18"/>
        </w:rPr>
        <w:t>The National Institutes of Health Stroke Scale (NIHSS) was employed to evaluate the degree of neurological deficits [5]. According to the degree of decrease in the NIHSS scores before and after treatment, the clinical efficacy was divided into four categories, namely, cured (the patient’s NIHSS score drops &gt;90%), markedly effective (the patient’s NIHSS score drops between 46~91%), effective (the patient’s NIHSS score drops between 18~45%) and ineffective (the patient’s NIHSS score drops &lt;18%). The total Effective rate = (cured + markedly effective + effective) number of cases / total number of cases × 100%.</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b/>
          <w:sz w:val="18"/>
          <w:szCs w:val="18"/>
        </w:rPr>
      </w:pPr>
      <w:r>
        <w:rPr>
          <w:rFonts w:hint="default" w:ascii="Times New Roman" w:hAnsi="Times New Roman" w:cs="Times New Roman"/>
          <w:b/>
          <w:sz w:val="18"/>
          <w:szCs w:val="18"/>
        </w:rPr>
        <w:t>Observation indicators</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r>
        <w:rPr>
          <w:rFonts w:hint="default" w:ascii="Times New Roman" w:hAnsi="Times New Roman" w:cs="Times New Roman"/>
          <w:sz w:val="18"/>
          <w:szCs w:val="18"/>
        </w:rPr>
        <w:t>Before and after treatment, 5 ml of venous blood was collected from all the patients in a fasting state in the early morning, and the serum was separated after centrifugation to detect the level of inflammatory factors and evaluate the antioxidant capacity of the patients. For inflammatory factors, enzyme-linked immunosorbent method assay (ELISA) was performed to detect the serum levels of interleukin-6 (IL-6), interleukin-8 (IL-8), and soluble intercellular adhesion molecule-1 (sICAM-1). For oxidative stress indicators, O-phenanthroline colorimetry and the thiobarbituric acid colorimetric method were used to determine the serum levels of total antioxidant capacity (T-AOC) and malondialdehyde (MDA).</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r>
        <w:rPr>
          <w:rFonts w:hint="default" w:ascii="Times New Roman" w:hAnsi="Times New Roman" w:cs="Times New Roman"/>
          <w:b/>
          <w:sz w:val="18"/>
          <w:szCs w:val="18"/>
        </w:rPr>
        <w:t>Statistical methods</w:t>
      </w:r>
      <w:r>
        <w:rPr>
          <w:rFonts w:hint="default" w:ascii="Times New Roman" w:hAnsi="Times New Roman" w:cs="Times New Roman"/>
          <w:sz w:val="18"/>
          <w:szCs w:val="18"/>
        </w:rPr>
        <w:t xml:space="preserve"> </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r>
        <w:rPr>
          <w:rFonts w:hint="default" w:ascii="Times New Roman" w:hAnsi="Times New Roman" w:cs="Times New Roman"/>
          <w:sz w:val="18"/>
          <w:szCs w:val="18"/>
        </w:rPr>
        <w:t>SPSS 20.0 was used for statistical analysis. The count data were compared by 2 test, and the measurement data were expressed by mean ± standard deviation (¯x±s). The data comparison was conducted using t test, and P&lt;0.05 was considered as statistically significant.</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b/>
          <w:sz w:val="18"/>
          <w:szCs w:val="18"/>
        </w:rPr>
      </w:pPr>
      <w:r>
        <w:rPr>
          <w:rFonts w:hint="default" w:ascii="Times New Roman" w:hAnsi="Times New Roman" w:cs="Times New Roman"/>
          <w:b/>
          <w:sz w:val="18"/>
          <w:szCs w:val="18"/>
        </w:rPr>
        <w:t>Results</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sectPr>
          <w:footerReference r:id="rId13" w:type="default"/>
          <w:footerReference r:id="rId14" w:type="even"/>
          <w:type w:val="continuous"/>
          <w:pgSz w:w="11906" w:h="16838"/>
          <w:pgMar w:top="1440" w:right="1800" w:bottom="1440" w:left="1800" w:header="851" w:footer="992" w:gutter="0"/>
          <w:pgNumType w:fmt="decimal"/>
          <w:cols w:equalWidth="0" w:num="2">
            <w:col w:w="3940" w:space="425"/>
            <w:col w:w="3940"/>
          </w:cols>
          <w:titlePg/>
          <w:docGrid w:type="lines" w:linePitch="312" w:charSpace="0"/>
        </w:sectPr>
      </w:pPr>
      <w:r>
        <w:rPr>
          <w:rFonts w:hint="default" w:ascii="Times New Roman" w:hAnsi="Times New Roman" w:cs="Times New Roman"/>
          <w:b/>
          <w:sz w:val="18"/>
          <w:szCs w:val="18"/>
        </w:rPr>
        <w:t xml:space="preserve">Comparison of clinical efficacy between the two groups </w:t>
      </w:r>
      <w:r>
        <w:rPr>
          <w:rFonts w:hint="default" w:ascii="Times New Roman" w:hAnsi="Times New Roman" w:cs="Times New Roman"/>
          <w:sz w:val="18"/>
          <w:szCs w:val="18"/>
        </w:rPr>
        <w:t>The total effective rate of the observation group was 94.55%, and that of the control group was 72.73%. The total effective rate of the observation group was significantly higher than that of the control group (P&lt;0.05), see Table 1.</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p>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Table 1 Comparison of clinical efficacy between the two groups [n(%)]</w:t>
      </w:r>
    </w:p>
    <w:tbl>
      <w:tblPr>
        <w:tblStyle w:val="5"/>
        <w:tblW w:w="5000" w:type="pct"/>
        <w:jc w:val="center"/>
        <w:tblLayout w:type="autofit"/>
        <w:tblCellMar>
          <w:top w:w="15" w:type="dxa"/>
          <w:left w:w="15" w:type="dxa"/>
          <w:bottom w:w="15" w:type="dxa"/>
          <w:right w:w="15" w:type="dxa"/>
        </w:tblCellMar>
      </w:tblPr>
      <w:tblGrid>
        <w:gridCol w:w="1189"/>
        <w:gridCol w:w="1191"/>
        <w:gridCol w:w="1191"/>
        <w:gridCol w:w="1191"/>
        <w:gridCol w:w="1191"/>
        <w:gridCol w:w="1191"/>
        <w:gridCol w:w="1192"/>
      </w:tblGrid>
      <w:tr>
        <w:tblPrEx>
          <w:tblCellMar>
            <w:top w:w="15" w:type="dxa"/>
            <w:left w:w="15" w:type="dxa"/>
            <w:bottom w:w="15" w:type="dxa"/>
            <w:right w:w="15" w:type="dxa"/>
          </w:tblCellMar>
        </w:tblPrEx>
        <w:trPr>
          <w:trHeight w:val="198" w:hRule="atLeast"/>
          <w:jc w:val="center"/>
        </w:trPr>
        <w:tc>
          <w:tcPr>
            <w:tcW w:w="713" w:type="pct"/>
            <w:tcBorders>
              <w:top w:val="single" w:color="auto" w:sz="12" w:space="0"/>
              <w:left w:val="nil"/>
              <w:bottom w:val="single" w:color="auto" w:sz="6"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Groups</w:t>
            </w:r>
          </w:p>
        </w:tc>
        <w:tc>
          <w:tcPr>
            <w:tcW w:w="714" w:type="pct"/>
            <w:tcBorders>
              <w:top w:val="single" w:color="auto" w:sz="12" w:space="0"/>
              <w:left w:val="nil"/>
              <w:bottom w:val="single" w:color="auto" w:sz="6"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Cases</w:t>
            </w:r>
          </w:p>
        </w:tc>
        <w:tc>
          <w:tcPr>
            <w:tcW w:w="714" w:type="pct"/>
            <w:tcBorders>
              <w:top w:val="single" w:color="auto" w:sz="12" w:space="0"/>
              <w:left w:val="nil"/>
              <w:bottom w:val="single" w:color="auto" w:sz="6"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Cured</w:t>
            </w:r>
          </w:p>
        </w:tc>
        <w:tc>
          <w:tcPr>
            <w:tcW w:w="714" w:type="pct"/>
            <w:tcBorders>
              <w:top w:val="single" w:color="auto" w:sz="12" w:space="0"/>
              <w:left w:val="nil"/>
              <w:bottom w:val="single" w:color="auto" w:sz="6"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Markedly effective</w:t>
            </w:r>
          </w:p>
        </w:tc>
        <w:tc>
          <w:tcPr>
            <w:tcW w:w="714" w:type="pct"/>
            <w:tcBorders>
              <w:top w:val="single" w:color="auto" w:sz="12" w:space="0"/>
              <w:left w:val="nil"/>
              <w:bottom w:val="single" w:color="auto" w:sz="6"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Effective</w:t>
            </w:r>
          </w:p>
        </w:tc>
        <w:tc>
          <w:tcPr>
            <w:tcW w:w="714" w:type="pct"/>
            <w:tcBorders>
              <w:top w:val="single" w:color="auto" w:sz="12" w:space="0"/>
              <w:left w:val="nil"/>
              <w:bottom w:val="single" w:color="auto" w:sz="6" w:space="0"/>
              <w:right w:val="nil"/>
            </w:tcBorders>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Ineffective</w:t>
            </w:r>
          </w:p>
        </w:tc>
        <w:tc>
          <w:tcPr>
            <w:tcW w:w="714" w:type="pct"/>
            <w:tcBorders>
              <w:top w:val="single" w:color="auto" w:sz="12" w:space="0"/>
              <w:left w:val="nil"/>
              <w:bottom w:val="single" w:color="auto" w:sz="6" w:space="0"/>
              <w:right w:val="nil"/>
            </w:tcBorders>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Total effective rate</w:t>
            </w:r>
          </w:p>
        </w:tc>
      </w:tr>
      <w:tr>
        <w:tblPrEx>
          <w:tblCellMar>
            <w:top w:w="15" w:type="dxa"/>
            <w:left w:w="15" w:type="dxa"/>
            <w:bottom w:w="15" w:type="dxa"/>
            <w:right w:w="15" w:type="dxa"/>
          </w:tblCellMar>
        </w:tblPrEx>
        <w:trPr>
          <w:trHeight w:val="228" w:hRule="atLeast"/>
          <w:jc w:val="center"/>
        </w:trPr>
        <w:tc>
          <w:tcPr>
            <w:tcW w:w="713" w:type="pct"/>
            <w:tcBorders>
              <w:top w:val="single" w:color="auto" w:sz="6"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Observation group</w:t>
            </w:r>
          </w:p>
        </w:tc>
        <w:tc>
          <w:tcPr>
            <w:tcW w:w="714" w:type="pct"/>
            <w:tcBorders>
              <w:top w:val="single" w:color="auto" w:sz="6"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55</w:t>
            </w:r>
          </w:p>
        </w:tc>
        <w:tc>
          <w:tcPr>
            <w:tcW w:w="714" w:type="pct"/>
            <w:tcBorders>
              <w:top w:val="single" w:color="auto" w:sz="6"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24（43.64）</w:t>
            </w:r>
          </w:p>
        </w:tc>
        <w:tc>
          <w:tcPr>
            <w:tcW w:w="714" w:type="pct"/>
            <w:tcBorders>
              <w:top w:val="single" w:color="auto" w:sz="6" w:space="0"/>
              <w:left w:val="nil"/>
              <w:bottom w:val="nil"/>
              <w:right w:val="nil"/>
            </w:tcBorders>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15（27.27）</w:t>
            </w:r>
          </w:p>
        </w:tc>
        <w:tc>
          <w:tcPr>
            <w:tcW w:w="714" w:type="pct"/>
            <w:tcBorders>
              <w:top w:val="single" w:color="auto" w:sz="6" w:space="0"/>
              <w:left w:val="nil"/>
              <w:bottom w:val="nil"/>
              <w:right w:val="nil"/>
            </w:tcBorders>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13（18.18）</w:t>
            </w:r>
          </w:p>
        </w:tc>
        <w:tc>
          <w:tcPr>
            <w:tcW w:w="714" w:type="pct"/>
            <w:tcBorders>
              <w:top w:val="single" w:color="auto" w:sz="6" w:space="0"/>
              <w:left w:val="nil"/>
              <w:bottom w:val="nil"/>
              <w:right w:val="nil"/>
            </w:tcBorders>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3（5.45）</w:t>
            </w:r>
          </w:p>
        </w:tc>
        <w:tc>
          <w:tcPr>
            <w:tcW w:w="714" w:type="pct"/>
            <w:tcBorders>
              <w:top w:val="single" w:color="auto" w:sz="6" w:space="0"/>
              <w:left w:val="nil"/>
              <w:bottom w:val="nil"/>
              <w:right w:val="nil"/>
            </w:tcBorders>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52（94.55）</w:t>
            </w:r>
          </w:p>
        </w:tc>
      </w:tr>
      <w:tr>
        <w:tblPrEx>
          <w:tblCellMar>
            <w:top w:w="15" w:type="dxa"/>
            <w:left w:w="15" w:type="dxa"/>
            <w:bottom w:w="15" w:type="dxa"/>
            <w:right w:w="15" w:type="dxa"/>
          </w:tblCellMar>
        </w:tblPrEx>
        <w:trPr>
          <w:trHeight w:val="228" w:hRule="atLeast"/>
          <w:jc w:val="center"/>
        </w:trPr>
        <w:tc>
          <w:tcPr>
            <w:tcW w:w="713" w:type="pct"/>
            <w:tcBorders>
              <w:top w:val="nil"/>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Control Group</w:t>
            </w:r>
          </w:p>
        </w:tc>
        <w:tc>
          <w:tcPr>
            <w:tcW w:w="714" w:type="pct"/>
            <w:tcBorders>
              <w:top w:val="nil"/>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55</w:t>
            </w:r>
          </w:p>
        </w:tc>
        <w:tc>
          <w:tcPr>
            <w:tcW w:w="714"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12（21.82）</w:t>
            </w:r>
          </w:p>
        </w:tc>
        <w:tc>
          <w:tcPr>
            <w:tcW w:w="714" w:type="pct"/>
            <w:tcBorders>
              <w:top w:val="nil"/>
              <w:left w:val="nil"/>
              <w:bottom w:val="nil"/>
              <w:right w:val="nil"/>
            </w:tcBorders>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20（36.36）</w:t>
            </w:r>
          </w:p>
        </w:tc>
        <w:tc>
          <w:tcPr>
            <w:tcW w:w="714" w:type="pct"/>
            <w:tcBorders>
              <w:top w:val="nil"/>
              <w:left w:val="nil"/>
              <w:bottom w:val="nil"/>
              <w:right w:val="nil"/>
            </w:tcBorders>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8（14.55）</w:t>
            </w:r>
          </w:p>
        </w:tc>
        <w:tc>
          <w:tcPr>
            <w:tcW w:w="714" w:type="pct"/>
            <w:tcBorders>
              <w:top w:val="nil"/>
              <w:left w:val="nil"/>
              <w:bottom w:val="nil"/>
              <w:right w:val="nil"/>
            </w:tcBorders>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15（27.27）</w:t>
            </w:r>
          </w:p>
        </w:tc>
        <w:tc>
          <w:tcPr>
            <w:tcW w:w="714" w:type="pct"/>
            <w:tcBorders>
              <w:top w:val="nil"/>
              <w:left w:val="nil"/>
              <w:bottom w:val="nil"/>
              <w:right w:val="nil"/>
            </w:tcBorders>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40（72.73）</w:t>
            </w:r>
          </w:p>
        </w:tc>
      </w:tr>
      <w:tr>
        <w:tblPrEx>
          <w:tblCellMar>
            <w:top w:w="15" w:type="dxa"/>
            <w:left w:w="15" w:type="dxa"/>
            <w:bottom w:w="15" w:type="dxa"/>
            <w:right w:w="15" w:type="dxa"/>
          </w:tblCellMar>
        </w:tblPrEx>
        <w:trPr>
          <w:trHeight w:val="403" w:hRule="atLeast"/>
          <w:jc w:val="center"/>
        </w:trPr>
        <w:tc>
          <w:tcPr>
            <w:tcW w:w="713" w:type="pct"/>
            <w:tcBorders>
              <w:top w:val="nil"/>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i/>
                <w:iCs/>
                <w:sz w:val="18"/>
                <w:szCs w:val="18"/>
              </w:rPr>
              <w:t>c</w:t>
            </w:r>
            <w:r>
              <w:rPr>
                <w:rFonts w:hint="default" w:ascii="Times New Roman" w:hAnsi="Times New Roman" w:cs="Times New Roman"/>
                <w:i/>
                <w:iCs/>
                <w:sz w:val="18"/>
                <w:szCs w:val="18"/>
                <w:vertAlign w:val="superscript"/>
              </w:rPr>
              <w:t>2</w:t>
            </w:r>
          </w:p>
        </w:tc>
        <w:tc>
          <w:tcPr>
            <w:tcW w:w="714" w:type="pct"/>
            <w:tcBorders>
              <w:top w:val="nil"/>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p>
        </w:tc>
        <w:tc>
          <w:tcPr>
            <w:tcW w:w="714"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714" w:type="pct"/>
            <w:tcBorders>
              <w:top w:val="nil"/>
              <w:left w:val="nil"/>
              <w:bottom w:val="nil"/>
              <w:right w:val="nil"/>
            </w:tcBorders>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714" w:type="pct"/>
            <w:tcBorders>
              <w:top w:val="nil"/>
              <w:left w:val="nil"/>
              <w:bottom w:val="nil"/>
              <w:right w:val="nil"/>
            </w:tcBorders>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714" w:type="pct"/>
            <w:tcBorders>
              <w:top w:val="nil"/>
              <w:left w:val="nil"/>
              <w:bottom w:val="nil"/>
              <w:right w:val="nil"/>
            </w:tcBorders>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714" w:type="pct"/>
            <w:tcBorders>
              <w:top w:val="nil"/>
              <w:left w:val="nil"/>
              <w:bottom w:val="nil"/>
              <w:right w:val="nil"/>
            </w:tcBorders>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9.565</w:t>
            </w:r>
          </w:p>
        </w:tc>
      </w:tr>
      <w:tr>
        <w:tblPrEx>
          <w:tblCellMar>
            <w:top w:w="15" w:type="dxa"/>
            <w:left w:w="15" w:type="dxa"/>
            <w:bottom w:w="15" w:type="dxa"/>
            <w:right w:w="15" w:type="dxa"/>
          </w:tblCellMar>
        </w:tblPrEx>
        <w:trPr>
          <w:trHeight w:val="136" w:hRule="atLeast"/>
          <w:jc w:val="center"/>
        </w:trPr>
        <w:tc>
          <w:tcPr>
            <w:tcW w:w="713" w:type="pct"/>
            <w:tcBorders>
              <w:top w:val="nil"/>
              <w:left w:val="nil"/>
              <w:bottom w:val="single" w:color="auto" w:sz="12"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iCs/>
                <w:sz w:val="18"/>
                <w:szCs w:val="18"/>
              </w:rPr>
            </w:pPr>
            <w:r>
              <w:rPr>
                <w:rFonts w:hint="default" w:ascii="Times New Roman" w:hAnsi="Times New Roman" w:cs="Times New Roman"/>
                <w:i/>
                <w:iCs/>
                <w:sz w:val="18"/>
                <w:szCs w:val="18"/>
              </w:rPr>
              <w:t>P</w:t>
            </w:r>
          </w:p>
        </w:tc>
        <w:tc>
          <w:tcPr>
            <w:tcW w:w="714" w:type="pct"/>
            <w:tcBorders>
              <w:top w:val="nil"/>
              <w:left w:val="nil"/>
              <w:bottom w:val="single" w:color="auto" w:sz="12"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b/>
                <w:bCs/>
                <w:kern w:val="44"/>
                <w:sz w:val="18"/>
                <w:szCs w:val="18"/>
              </w:rPr>
            </w:pPr>
          </w:p>
        </w:tc>
        <w:tc>
          <w:tcPr>
            <w:tcW w:w="714" w:type="pct"/>
            <w:tcBorders>
              <w:top w:val="nil"/>
              <w:left w:val="nil"/>
              <w:bottom w:val="single" w:color="auto" w:sz="12"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714" w:type="pct"/>
            <w:tcBorders>
              <w:top w:val="nil"/>
              <w:left w:val="nil"/>
              <w:bottom w:val="single" w:color="auto" w:sz="12" w:space="0"/>
              <w:right w:val="nil"/>
            </w:tcBorders>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714" w:type="pct"/>
            <w:tcBorders>
              <w:top w:val="nil"/>
              <w:left w:val="nil"/>
              <w:bottom w:val="single" w:color="auto" w:sz="12"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714" w:type="pct"/>
            <w:tcBorders>
              <w:top w:val="nil"/>
              <w:left w:val="nil"/>
              <w:bottom w:val="single" w:color="auto" w:sz="12" w:space="0"/>
              <w:right w:val="nil"/>
            </w:tcBorders>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714" w:type="pct"/>
            <w:tcBorders>
              <w:top w:val="nil"/>
              <w:left w:val="nil"/>
              <w:bottom w:val="single" w:color="auto" w:sz="12" w:space="0"/>
              <w:right w:val="nil"/>
            </w:tcBorders>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0.002</w:t>
            </w:r>
          </w:p>
        </w:tc>
      </w:tr>
    </w:tbl>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b/>
          <w:sz w:val="18"/>
          <w:szCs w:val="18"/>
        </w:rPr>
      </w:pP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b/>
          <w:sz w:val="18"/>
          <w:szCs w:val="18"/>
        </w:rPr>
        <w:sectPr>
          <w:type w:val="continuous"/>
          <w:pgSz w:w="11906" w:h="16838"/>
          <w:pgMar w:top="1440" w:right="1800" w:bottom="1440" w:left="1800" w:header="851" w:footer="992" w:gutter="0"/>
          <w:pgNumType w:fmt="decimal"/>
          <w:cols w:space="425" w:num="1"/>
          <w:titlePg/>
          <w:docGrid w:type="lines" w:linePitch="312" w:charSpace="0"/>
        </w:sectPr>
      </w:pP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b/>
          <w:sz w:val="18"/>
          <w:szCs w:val="18"/>
        </w:rPr>
      </w:pPr>
      <w:r>
        <w:rPr>
          <w:rFonts w:hint="default" w:ascii="Times New Roman" w:hAnsi="Times New Roman" w:cs="Times New Roman"/>
          <w:b/>
          <w:sz w:val="18"/>
          <w:szCs w:val="18"/>
        </w:rPr>
        <w:t>Comparison of the levels of inflammatory factors between the two groups before and after treatment</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r>
        <w:rPr>
          <w:rFonts w:hint="default" w:ascii="Times New Roman" w:hAnsi="Times New Roman" w:cs="Times New Roman"/>
          <w:sz w:val="18"/>
          <w:szCs w:val="18"/>
        </w:rPr>
        <w:t>Before treatment, there was no significant difference in the levels of IL-6, IL-8 and sICAM-1 between the two groups (P&gt;0.05). However, after treatment, the levels of IL-6, IL-8 and sICAM-1 in the two groups were significantly lower than those before treatment (P&lt;0.05), and the levels of IL-6, IL-8 and sICAM-1 in the observation group were noticeably lower than those in the control group (P&lt;0.05), see Table 2.</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sectPr>
          <w:type w:val="continuous"/>
          <w:pgSz w:w="11906" w:h="16838"/>
          <w:pgMar w:top="1440" w:right="1800" w:bottom="1440" w:left="1800" w:header="851" w:footer="992" w:gutter="0"/>
          <w:pgNumType w:fmt="decimal"/>
          <w:cols w:equalWidth="0" w:num="2">
            <w:col w:w="3940" w:space="425"/>
            <w:col w:w="3940"/>
          </w:cols>
          <w:titlePg/>
          <w:docGrid w:type="lines" w:linePitch="312" w:charSpace="0"/>
        </w:sectPr>
      </w:pP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p>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Table 2 Comparison of the levels of inflammatory factors between the two groups before and after treatment（¯x±s）</w:t>
      </w:r>
    </w:p>
    <w:tbl>
      <w:tblPr>
        <w:tblStyle w:val="5"/>
        <w:tblW w:w="5800" w:type="pct"/>
        <w:jc w:val="center"/>
        <w:tblLayout w:type="autofit"/>
        <w:tblCellMar>
          <w:top w:w="15" w:type="dxa"/>
          <w:left w:w="15" w:type="dxa"/>
          <w:bottom w:w="15" w:type="dxa"/>
          <w:right w:w="15" w:type="dxa"/>
        </w:tblCellMar>
      </w:tblPr>
      <w:tblGrid>
        <w:gridCol w:w="910"/>
        <w:gridCol w:w="450"/>
        <w:gridCol w:w="1029"/>
        <w:gridCol w:w="939"/>
        <w:gridCol w:w="525"/>
        <w:gridCol w:w="435"/>
        <w:gridCol w:w="1029"/>
        <w:gridCol w:w="1029"/>
        <w:gridCol w:w="525"/>
        <w:gridCol w:w="435"/>
        <w:gridCol w:w="1029"/>
        <w:gridCol w:w="1029"/>
        <w:gridCol w:w="525"/>
        <w:gridCol w:w="435"/>
      </w:tblGrid>
      <w:tr>
        <w:tblPrEx>
          <w:tblCellMar>
            <w:top w:w="15" w:type="dxa"/>
            <w:left w:w="15" w:type="dxa"/>
            <w:bottom w:w="15" w:type="dxa"/>
            <w:right w:w="15" w:type="dxa"/>
          </w:tblCellMar>
        </w:tblPrEx>
        <w:trPr>
          <w:trHeight w:val="316" w:hRule="atLeast"/>
          <w:jc w:val="center"/>
        </w:trPr>
        <w:tc>
          <w:tcPr>
            <w:tcW w:w="378" w:type="pct"/>
            <w:vMerge w:val="restart"/>
            <w:tcBorders>
              <w:top w:val="single" w:color="auto" w:sz="12"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Groups</w:t>
            </w:r>
          </w:p>
        </w:tc>
        <w:tc>
          <w:tcPr>
            <w:tcW w:w="879" w:type="pct"/>
            <w:vMerge w:val="restart"/>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Cases</w:t>
            </w:r>
          </w:p>
        </w:tc>
        <w:tc>
          <w:tcPr>
            <w:tcW w:w="819" w:type="pct"/>
            <w:gridSpan w:val="2"/>
            <w:tcBorders>
              <w:top w:val="single" w:color="auto" w:sz="12" w:space="0"/>
              <w:left w:val="nil"/>
              <w:bottom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IL-6 (ng/L)</w:t>
            </w:r>
          </w:p>
        </w:tc>
        <w:tc>
          <w:tcPr>
            <w:tcW w:w="220" w:type="pct"/>
            <w:vMerge w:val="restart"/>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iCs/>
                <w:sz w:val="18"/>
                <w:szCs w:val="18"/>
              </w:rPr>
            </w:pPr>
            <w:r>
              <w:rPr>
                <w:rFonts w:hint="default" w:ascii="Times New Roman" w:hAnsi="Times New Roman" w:cs="Times New Roman"/>
                <w:i/>
                <w:iCs/>
                <w:sz w:val="18"/>
                <w:szCs w:val="18"/>
              </w:rPr>
              <w:t>t</w:t>
            </w:r>
          </w:p>
        </w:tc>
        <w:tc>
          <w:tcPr>
            <w:tcW w:w="183" w:type="pct"/>
            <w:vMerge w:val="restart"/>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iCs/>
                <w:sz w:val="18"/>
                <w:szCs w:val="18"/>
              </w:rPr>
            </w:pPr>
            <w:r>
              <w:rPr>
                <w:rFonts w:hint="default" w:ascii="Times New Roman" w:hAnsi="Times New Roman" w:cs="Times New Roman"/>
                <w:i/>
                <w:iCs/>
                <w:sz w:val="18"/>
                <w:szCs w:val="18"/>
              </w:rPr>
              <w:t>P</w:t>
            </w:r>
          </w:p>
        </w:tc>
        <w:tc>
          <w:tcPr>
            <w:tcW w:w="856" w:type="pct"/>
            <w:gridSpan w:val="2"/>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IL-8 (ng/L)</w:t>
            </w:r>
          </w:p>
        </w:tc>
        <w:tc>
          <w:tcPr>
            <w:tcW w:w="220" w:type="pct"/>
            <w:vMerge w:val="restart"/>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iCs/>
                <w:sz w:val="18"/>
                <w:szCs w:val="18"/>
              </w:rPr>
            </w:pPr>
            <w:r>
              <w:rPr>
                <w:rFonts w:hint="default" w:ascii="Times New Roman" w:hAnsi="Times New Roman" w:cs="Times New Roman"/>
                <w:i/>
                <w:iCs/>
                <w:sz w:val="18"/>
                <w:szCs w:val="18"/>
              </w:rPr>
              <w:t>t</w:t>
            </w:r>
          </w:p>
        </w:tc>
        <w:tc>
          <w:tcPr>
            <w:tcW w:w="183" w:type="pct"/>
            <w:vMerge w:val="restart"/>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iCs/>
                <w:sz w:val="18"/>
                <w:szCs w:val="18"/>
              </w:rPr>
            </w:pPr>
            <w:r>
              <w:rPr>
                <w:rFonts w:hint="default" w:ascii="Times New Roman" w:hAnsi="Times New Roman" w:cs="Times New Roman"/>
                <w:i/>
                <w:iCs/>
                <w:sz w:val="18"/>
                <w:szCs w:val="18"/>
              </w:rPr>
              <w:t>P</w:t>
            </w:r>
          </w:p>
        </w:tc>
        <w:tc>
          <w:tcPr>
            <w:tcW w:w="856" w:type="pct"/>
            <w:gridSpan w:val="2"/>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sICAM-1 (ng/mL)</w:t>
            </w:r>
          </w:p>
        </w:tc>
        <w:tc>
          <w:tcPr>
            <w:tcW w:w="220" w:type="pct"/>
            <w:vMerge w:val="restart"/>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iCs/>
                <w:sz w:val="18"/>
                <w:szCs w:val="18"/>
              </w:rPr>
            </w:pPr>
            <w:r>
              <w:rPr>
                <w:rFonts w:hint="default" w:ascii="Times New Roman" w:hAnsi="Times New Roman" w:cs="Times New Roman"/>
                <w:i/>
                <w:iCs/>
                <w:sz w:val="18"/>
                <w:szCs w:val="18"/>
              </w:rPr>
              <w:t>t</w:t>
            </w:r>
          </w:p>
        </w:tc>
        <w:tc>
          <w:tcPr>
            <w:tcW w:w="183" w:type="pct"/>
            <w:vMerge w:val="restart"/>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iCs/>
                <w:sz w:val="18"/>
                <w:szCs w:val="18"/>
              </w:rPr>
            </w:pPr>
            <w:r>
              <w:rPr>
                <w:rFonts w:hint="default" w:ascii="Times New Roman" w:hAnsi="Times New Roman" w:cs="Times New Roman"/>
                <w:i/>
                <w:iCs/>
                <w:sz w:val="18"/>
                <w:szCs w:val="18"/>
              </w:rPr>
              <w:t>P</w:t>
            </w:r>
          </w:p>
        </w:tc>
      </w:tr>
      <w:tr>
        <w:tblPrEx>
          <w:tblCellMar>
            <w:top w:w="15" w:type="dxa"/>
            <w:left w:w="15" w:type="dxa"/>
            <w:bottom w:w="15" w:type="dxa"/>
            <w:right w:w="15" w:type="dxa"/>
          </w:tblCellMar>
        </w:tblPrEx>
        <w:trPr>
          <w:trHeight w:val="315" w:hRule="atLeast"/>
          <w:jc w:val="center"/>
        </w:trPr>
        <w:tc>
          <w:tcPr>
            <w:tcW w:w="378" w:type="pct"/>
            <w:vMerge w:val="continue"/>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Times New Roman" w:hAnsi="Times New Roman" w:cs="Times New Roman"/>
                <w:sz w:val="18"/>
                <w:szCs w:val="18"/>
              </w:rPr>
            </w:pPr>
          </w:p>
        </w:tc>
        <w:tc>
          <w:tcPr>
            <w:tcW w:w="879" w:type="pct"/>
            <w:vMerge w:val="continue"/>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Times New Roman" w:hAnsi="Times New Roman" w:cs="Times New Roman"/>
                <w:kern w:val="0"/>
                <w:sz w:val="18"/>
                <w:szCs w:val="18"/>
              </w:rPr>
            </w:pPr>
          </w:p>
        </w:tc>
        <w:tc>
          <w:tcPr>
            <w:tcW w:w="428" w:type="pct"/>
            <w:tcBorders>
              <w:top w:val="single" w:color="auto" w:sz="4" w:space="0"/>
              <w:left w:val="nil"/>
              <w:bottom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Before treatment</w:t>
            </w:r>
          </w:p>
        </w:tc>
        <w:tc>
          <w:tcPr>
            <w:tcW w:w="391" w:type="pct"/>
            <w:tcBorders>
              <w:top w:val="single" w:color="auto" w:sz="4" w:space="0"/>
              <w:left w:val="nil"/>
              <w:bottom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After treatment</w:t>
            </w:r>
          </w:p>
        </w:tc>
        <w:tc>
          <w:tcPr>
            <w:tcW w:w="220" w:type="pct"/>
            <w:vMerge w:val="continue"/>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Times New Roman" w:hAnsi="Times New Roman" w:cs="Times New Roman"/>
                <w:i/>
                <w:iCs/>
                <w:sz w:val="18"/>
                <w:szCs w:val="18"/>
              </w:rPr>
            </w:pPr>
          </w:p>
        </w:tc>
        <w:tc>
          <w:tcPr>
            <w:tcW w:w="183" w:type="pct"/>
            <w:vMerge w:val="continue"/>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Times New Roman" w:hAnsi="Times New Roman" w:cs="Times New Roman"/>
                <w:i/>
                <w:iCs/>
                <w:sz w:val="18"/>
                <w:szCs w:val="18"/>
              </w:rPr>
            </w:pPr>
          </w:p>
        </w:tc>
        <w:tc>
          <w:tcPr>
            <w:tcW w:w="428" w:type="pct"/>
            <w:tcBorders>
              <w:top w:val="single" w:color="auto" w:sz="4" w:space="0"/>
              <w:left w:val="nil"/>
              <w:bottom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Before treatment</w:t>
            </w:r>
          </w:p>
        </w:tc>
        <w:tc>
          <w:tcPr>
            <w:tcW w:w="428" w:type="pct"/>
            <w:tcBorders>
              <w:top w:val="single" w:color="auto" w:sz="4" w:space="0"/>
              <w:left w:val="nil"/>
              <w:bottom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After treatment</w:t>
            </w:r>
          </w:p>
        </w:tc>
        <w:tc>
          <w:tcPr>
            <w:tcW w:w="220" w:type="pct"/>
            <w:vMerge w:val="continue"/>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Times New Roman" w:hAnsi="Times New Roman" w:cs="Times New Roman"/>
                <w:i/>
                <w:iCs/>
                <w:sz w:val="18"/>
                <w:szCs w:val="18"/>
              </w:rPr>
            </w:pPr>
          </w:p>
        </w:tc>
        <w:tc>
          <w:tcPr>
            <w:tcW w:w="183" w:type="pct"/>
            <w:vMerge w:val="continue"/>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Times New Roman" w:hAnsi="Times New Roman" w:cs="Times New Roman"/>
                <w:i/>
                <w:iCs/>
                <w:sz w:val="18"/>
                <w:szCs w:val="18"/>
              </w:rPr>
            </w:pPr>
          </w:p>
        </w:tc>
        <w:tc>
          <w:tcPr>
            <w:tcW w:w="428" w:type="pct"/>
            <w:tcBorders>
              <w:top w:val="single" w:color="auto" w:sz="4" w:space="0"/>
              <w:left w:val="nil"/>
              <w:bottom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Before treatment</w:t>
            </w:r>
          </w:p>
        </w:tc>
        <w:tc>
          <w:tcPr>
            <w:tcW w:w="428" w:type="pct"/>
            <w:tcBorders>
              <w:top w:val="single" w:color="auto" w:sz="4" w:space="0"/>
              <w:left w:val="nil"/>
              <w:bottom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After treatment</w:t>
            </w:r>
          </w:p>
        </w:tc>
        <w:tc>
          <w:tcPr>
            <w:tcW w:w="220" w:type="pct"/>
            <w:vMerge w:val="continue"/>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Times New Roman" w:hAnsi="Times New Roman" w:cs="Times New Roman"/>
                <w:i/>
                <w:iCs/>
                <w:sz w:val="18"/>
                <w:szCs w:val="18"/>
              </w:rPr>
            </w:pPr>
          </w:p>
        </w:tc>
        <w:tc>
          <w:tcPr>
            <w:tcW w:w="183" w:type="pct"/>
            <w:vMerge w:val="continue"/>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Times New Roman" w:hAnsi="Times New Roman" w:cs="Times New Roman"/>
                <w:i/>
                <w:iCs/>
                <w:sz w:val="18"/>
                <w:szCs w:val="18"/>
              </w:rPr>
            </w:pPr>
          </w:p>
        </w:tc>
      </w:tr>
      <w:tr>
        <w:tblPrEx>
          <w:tblCellMar>
            <w:top w:w="15" w:type="dxa"/>
            <w:left w:w="15" w:type="dxa"/>
            <w:bottom w:w="15" w:type="dxa"/>
            <w:right w:w="15" w:type="dxa"/>
          </w:tblCellMar>
        </w:tblPrEx>
        <w:trPr>
          <w:trHeight w:val="235" w:hRule="atLeast"/>
          <w:jc w:val="center"/>
        </w:trPr>
        <w:tc>
          <w:tcPr>
            <w:tcW w:w="378" w:type="pct"/>
            <w:tcBorders>
              <w:top w:val="single" w:color="auto" w:sz="4"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Observation group</w:t>
            </w:r>
          </w:p>
        </w:tc>
        <w:tc>
          <w:tcPr>
            <w:tcW w:w="879" w:type="pct"/>
            <w:tcBorders>
              <w:top w:val="single" w:color="auto" w:sz="4"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55</w:t>
            </w:r>
          </w:p>
        </w:tc>
        <w:tc>
          <w:tcPr>
            <w:tcW w:w="428" w:type="pct"/>
            <w:tcBorders>
              <w:top w:val="single" w:color="auto" w:sz="4"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107.39±12.57</w:t>
            </w:r>
          </w:p>
        </w:tc>
        <w:tc>
          <w:tcPr>
            <w:tcW w:w="391" w:type="pct"/>
            <w:tcBorders>
              <w:top w:val="single" w:color="auto" w:sz="4"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58.42±8.34</w:t>
            </w:r>
          </w:p>
        </w:tc>
        <w:tc>
          <w:tcPr>
            <w:tcW w:w="220" w:type="pct"/>
            <w:tcBorders>
              <w:top w:val="single" w:color="auto" w:sz="4"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24.075</w:t>
            </w:r>
          </w:p>
        </w:tc>
        <w:tc>
          <w:tcPr>
            <w:tcW w:w="183" w:type="pct"/>
            <w:tcBorders>
              <w:top w:val="single" w:color="auto" w:sz="4"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0.000</w:t>
            </w:r>
          </w:p>
        </w:tc>
        <w:tc>
          <w:tcPr>
            <w:tcW w:w="428" w:type="pct"/>
            <w:tcBorders>
              <w:top w:val="single" w:color="auto" w:sz="4"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154.61±21.73</w:t>
            </w:r>
          </w:p>
        </w:tc>
        <w:tc>
          <w:tcPr>
            <w:tcW w:w="428" w:type="pct"/>
            <w:tcBorders>
              <w:top w:val="single" w:color="auto" w:sz="4"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75.53±13.47</w:t>
            </w:r>
          </w:p>
        </w:tc>
        <w:tc>
          <w:tcPr>
            <w:tcW w:w="220" w:type="pct"/>
            <w:tcBorders>
              <w:top w:val="single" w:color="auto" w:sz="4"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22.939</w:t>
            </w:r>
          </w:p>
        </w:tc>
        <w:tc>
          <w:tcPr>
            <w:tcW w:w="183" w:type="pct"/>
            <w:tcBorders>
              <w:top w:val="single" w:color="auto" w:sz="4"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0.000</w:t>
            </w:r>
          </w:p>
        </w:tc>
        <w:tc>
          <w:tcPr>
            <w:tcW w:w="428" w:type="pct"/>
            <w:tcBorders>
              <w:top w:val="single" w:color="auto" w:sz="4"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285.78±26.45</w:t>
            </w:r>
          </w:p>
        </w:tc>
        <w:tc>
          <w:tcPr>
            <w:tcW w:w="428" w:type="pct"/>
            <w:tcBorders>
              <w:top w:val="single" w:color="auto" w:sz="4"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213.65±17.64</w:t>
            </w:r>
          </w:p>
        </w:tc>
        <w:tc>
          <w:tcPr>
            <w:tcW w:w="220" w:type="pct"/>
            <w:tcBorders>
              <w:top w:val="single" w:color="auto" w:sz="4"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16.826</w:t>
            </w:r>
          </w:p>
        </w:tc>
        <w:tc>
          <w:tcPr>
            <w:tcW w:w="183" w:type="pct"/>
            <w:tcBorders>
              <w:top w:val="single" w:color="auto" w:sz="4"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0.000</w:t>
            </w:r>
          </w:p>
        </w:tc>
      </w:tr>
      <w:tr>
        <w:tblPrEx>
          <w:tblCellMar>
            <w:top w:w="15" w:type="dxa"/>
            <w:left w:w="15" w:type="dxa"/>
            <w:bottom w:w="15" w:type="dxa"/>
            <w:right w:w="15" w:type="dxa"/>
          </w:tblCellMar>
        </w:tblPrEx>
        <w:trPr>
          <w:trHeight w:val="235" w:hRule="atLeast"/>
          <w:jc w:val="center"/>
        </w:trPr>
        <w:tc>
          <w:tcPr>
            <w:tcW w:w="378" w:type="pct"/>
            <w:tcBorders>
              <w:top w:val="nil"/>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Control Group</w:t>
            </w:r>
          </w:p>
        </w:tc>
        <w:tc>
          <w:tcPr>
            <w:tcW w:w="879" w:type="pct"/>
            <w:tcBorders>
              <w:top w:val="nil"/>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55</w:t>
            </w:r>
          </w:p>
        </w:tc>
        <w:tc>
          <w:tcPr>
            <w:tcW w:w="428"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105.48±12.16</w:t>
            </w:r>
          </w:p>
        </w:tc>
        <w:tc>
          <w:tcPr>
            <w:tcW w:w="391"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74.67±10.28</w:t>
            </w:r>
          </w:p>
        </w:tc>
        <w:tc>
          <w:tcPr>
            <w:tcW w:w="220"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14.350</w:t>
            </w:r>
          </w:p>
        </w:tc>
        <w:tc>
          <w:tcPr>
            <w:tcW w:w="183"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0.000</w:t>
            </w:r>
          </w:p>
        </w:tc>
        <w:tc>
          <w:tcPr>
            <w:tcW w:w="428"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156.14±22.14</w:t>
            </w:r>
          </w:p>
        </w:tc>
        <w:tc>
          <w:tcPr>
            <w:tcW w:w="428"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121.74±17.34</w:t>
            </w:r>
          </w:p>
        </w:tc>
        <w:tc>
          <w:tcPr>
            <w:tcW w:w="220"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9.072</w:t>
            </w:r>
          </w:p>
        </w:tc>
        <w:tc>
          <w:tcPr>
            <w:tcW w:w="183"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0.000</w:t>
            </w:r>
          </w:p>
        </w:tc>
        <w:tc>
          <w:tcPr>
            <w:tcW w:w="428"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286.57±26.95</w:t>
            </w:r>
          </w:p>
        </w:tc>
        <w:tc>
          <w:tcPr>
            <w:tcW w:w="428"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245.27±21.75</w:t>
            </w:r>
          </w:p>
        </w:tc>
        <w:tc>
          <w:tcPr>
            <w:tcW w:w="220"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8.844</w:t>
            </w:r>
          </w:p>
        </w:tc>
        <w:tc>
          <w:tcPr>
            <w:tcW w:w="183"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0.000</w:t>
            </w:r>
          </w:p>
        </w:tc>
      </w:tr>
      <w:tr>
        <w:tblPrEx>
          <w:tblCellMar>
            <w:top w:w="15" w:type="dxa"/>
            <w:left w:w="15" w:type="dxa"/>
            <w:bottom w:w="15" w:type="dxa"/>
            <w:right w:w="15" w:type="dxa"/>
          </w:tblCellMar>
        </w:tblPrEx>
        <w:trPr>
          <w:trHeight w:val="322" w:hRule="atLeast"/>
          <w:jc w:val="center"/>
        </w:trPr>
        <w:tc>
          <w:tcPr>
            <w:tcW w:w="378" w:type="pct"/>
            <w:tcBorders>
              <w:top w:val="nil"/>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iCs/>
                <w:sz w:val="18"/>
                <w:szCs w:val="18"/>
              </w:rPr>
            </w:pPr>
            <w:r>
              <w:rPr>
                <w:rFonts w:hint="default" w:ascii="Times New Roman" w:hAnsi="Times New Roman" w:cs="Times New Roman"/>
                <w:i/>
                <w:iCs/>
                <w:sz w:val="18"/>
                <w:szCs w:val="18"/>
              </w:rPr>
              <w:t>t</w:t>
            </w:r>
          </w:p>
        </w:tc>
        <w:tc>
          <w:tcPr>
            <w:tcW w:w="879"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428"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0.810</w:t>
            </w:r>
          </w:p>
        </w:tc>
        <w:tc>
          <w:tcPr>
            <w:tcW w:w="391"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-9.104</w:t>
            </w:r>
          </w:p>
        </w:tc>
        <w:tc>
          <w:tcPr>
            <w:tcW w:w="220"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183"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428"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-0.366</w:t>
            </w:r>
          </w:p>
        </w:tc>
        <w:tc>
          <w:tcPr>
            <w:tcW w:w="428"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-15.608</w:t>
            </w:r>
          </w:p>
        </w:tc>
        <w:tc>
          <w:tcPr>
            <w:tcW w:w="220"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183"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428"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-0.155</w:t>
            </w:r>
          </w:p>
        </w:tc>
        <w:tc>
          <w:tcPr>
            <w:tcW w:w="428"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-8.374</w:t>
            </w:r>
          </w:p>
        </w:tc>
        <w:tc>
          <w:tcPr>
            <w:tcW w:w="220"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183"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r>
      <w:tr>
        <w:tblPrEx>
          <w:tblCellMar>
            <w:top w:w="15" w:type="dxa"/>
            <w:left w:w="15" w:type="dxa"/>
            <w:bottom w:w="15" w:type="dxa"/>
            <w:right w:w="15" w:type="dxa"/>
          </w:tblCellMar>
        </w:tblPrEx>
        <w:trPr>
          <w:trHeight w:val="235" w:hRule="atLeast"/>
          <w:jc w:val="center"/>
        </w:trPr>
        <w:tc>
          <w:tcPr>
            <w:tcW w:w="378" w:type="pct"/>
            <w:tcBorders>
              <w:top w:val="nil"/>
              <w:left w:val="nil"/>
              <w:bottom w:val="single" w:color="auto" w:sz="12"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iCs/>
                <w:sz w:val="18"/>
                <w:szCs w:val="18"/>
              </w:rPr>
            </w:pPr>
            <w:r>
              <w:rPr>
                <w:rFonts w:hint="default" w:ascii="Times New Roman" w:hAnsi="Times New Roman" w:cs="Times New Roman"/>
                <w:i/>
                <w:iCs/>
                <w:sz w:val="18"/>
                <w:szCs w:val="18"/>
              </w:rPr>
              <w:t>P</w:t>
            </w:r>
          </w:p>
        </w:tc>
        <w:tc>
          <w:tcPr>
            <w:tcW w:w="879" w:type="pct"/>
            <w:tcBorders>
              <w:top w:val="nil"/>
              <w:left w:val="nil"/>
              <w:bottom w:val="single" w:color="auto" w:sz="12"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428" w:type="pct"/>
            <w:tcBorders>
              <w:top w:val="nil"/>
              <w:left w:val="nil"/>
              <w:bottom w:val="single" w:color="auto" w:sz="12"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0.420</w:t>
            </w:r>
          </w:p>
        </w:tc>
        <w:tc>
          <w:tcPr>
            <w:tcW w:w="391" w:type="pct"/>
            <w:tcBorders>
              <w:top w:val="nil"/>
              <w:left w:val="nil"/>
              <w:bottom w:val="single" w:color="auto" w:sz="12"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0.000</w:t>
            </w:r>
          </w:p>
        </w:tc>
        <w:tc>
          <w:tcPr>
            <w:tcW w:w="220" w:type="pct"/>
            <w:tcBorders>
              <w:top w:val="nil"/>
              <w:left w:val="nil"/>
              <w:bottom w:val="single" w:color="auto" w:sz="12"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183" w:type="pct"/>
            <w:tcBorders>
              <w:top w:val="nil"/>
              <w:left w:val="nil"/>
              <w:bottom w:val="single" w:color="auto" w:sz="12"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428" w:type="pct"/>
            <w:tcBorders>
              <w:top w:val="nil"/>
              <w:left w:val="nil"/>
              <w:bottom w:val="single" w:color="auto" w:sz="12"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0.715</w:t>
            </w:r>
          </w:p>
        </w:tc>
        <w:tc>
          <w:tcPr>
            <w:tcW w:w="428" w:type="pct"/>
            <w:tcBorders>
              <w:top w:val="nil"/>
              <w:left w:val="nil"/>
              <w:bottom w:val="single" w:color="auto" w:sz="12"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0.000</w:t>
            </w:r>
          </w:p>
        </w:tc>
        <w:tc>
          <w:tcPr>
            <w:tcW w:w="220" w:type="pct"/>
            <w:tcBorders>
              <w:top w:val="nil"/>
              <w:left w:val="nil"/>
              <w:bottom w:val="single" w:color="auto" w:sz="12"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183" w:type="pct"/>
            <w:tcBorders>
              <w:top w:val="nil"/>
              <w:left w:val="nil"/>
              <w:bottom w:val="single" w:color="auto" w:sz="12"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428" w:type="pct"/>
            <w:tcBorders>
              <w:top w:val="nil"/>
              <w:left w:val="nil"/>
              <w:bottom w:val="single" w:color="auto" w:sz="12"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0.877</w:t>
            </w:r>
          </w:p>
        </w:tc>
        <w:tc>
          <w:tcPr>
            <w:tcW w:w="428" w:type="pct"/>
            <w:tcBorders>
              <w:top w:val="nil"/>
              <w:left w:val="nil"/>
              <w:bottom w:val="single" w:color="auto" w:sz="12"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0.000</w:t>
            </w:r>
          </w:p>
        </w:tc>
        <w:tc>
          <w:tcPr>
            <w:tcW w:w="220" w:type="pct"/>
            <w:tcBorders>
              <w:top w:val="nil"/>
              <w:left w:val="nil"/>
              <w:bottom w:val="single" w:color="auto" w:sz="12"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183" w:type="pct"/>
            <w:tcBorders>
              <w:top w:val="nil"/>
              <w:left w:val="nil"/>
              <w:bottom w:val="single" w:color="auto" w:sz="12"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r>
    </w:tbl>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b/>
          <w:sz w:val="18"/>
          <w:szCs w:val="18"/>
        </w:rPr>
      </w:pP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b/>
          <w:sz w:val="18"/>
          <w:szCs w:val="18"/>
        </w:rPr>
        <w:sectPr>
          <w:type w:val="continuous"/>
          <w:pgSz w:w="11906" w:h="16838"/>
          <w:pgMar w:top="1440" w:right="1800" w:bottom="1440" w:left="1800" w:header="851" w:footer="992" w:gutter="0"/>
          <w:pgNumType w:fmt="decimal"/>
          <w:cols w:space="425" w:num="1"/>
          <w:titlePg/>
          <w:docGrid w:type="lines" w:linePitch="312" w:charSpace="0"/>
        </w:sectPr>
      </w:pP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b/>
          <w:sz w:val="18"/>
          <w:szCs w:val="18"/>
        </w:rPr>
      </w:pPr>
      <w:r>
        <w:rPr>
          <w:rFonts w:hint="default" w:ascii="Times New Roman" w:hAnsi="Times New Roman" w:cs="Times New Roman"/>
          <w:b/>
          <w:sz w:val="18"/>
          <w:szCs w:val="18"/>
        </w:rPr>
        <w:t>Comparison of the oxidative stress indexes between the two groups before and after treatment</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r>
        <w:rPr>
          <w:rFonts w:hint="default" w:ascii="Times New Roman" w:hAnsi="Times New Roman" w:cs="Times New Roman"/>
          <w:sz w:val="18"/>
          <w:szCs w:val="18"/>
        </w:rPr>
        <w:t>Before treatment, there was no significant difference in T-AOC and MDA levels between the two groups (P&gt;0.05). However, after treatment, the T-AOC levels in the two groups were greatly higher than before treatment (P&lt;0.05), and the MDA levels were significantly lower than before treatment (P&lt;0.05). Moreover, the T-AOC level of the observation group was significantly higher than that of the control group (P&lt;0.05), and the MDA level was noticeably lower than that of the control group (P&lt;0.05), see Table 3.</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sectPr>
          <w:footerReference r:id="rId15" w:type="default"/>
          <w:footerReference r:id="rId16" w:type="even"/>
          <w:type w:val="continuous"/>
          <w:pgSz w:w="11906" w:h="16838"/>
          <w:pgMar w:top="1440" w:right="1800" w:bottom="1440" w:left="1800" w:header="851" w:footer="992" w:gutter="0"/>
          <w:pgNumType w:fmt="decimal"/>
          <w:cols w:equalWidth="0" w:num="2">
            <w:col w:w="3940" w:space="425"/>
            <w:col w:w="3940"/>
          </w:cols>
          <w:titlePg/>
          <w:docGrid w:type="lines" w:linePitch="312" w:charSpace="0"/>
        </w:sectPr>
      </w:pP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p>
    <w:p>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sz w:val="18"/>
          <w:szCs w:val="18"/>
        </w:rPr>
      </w:pPr>
      <w:r>
        <w:rPr>
          <w:rFonts w:hint="default" w:ascii="Times New Roman" w:hAnsi="Times New Roman" w:cs="Times New Roman"/>
          <w:sz w:val="18"/>
          <w:szCs w:val="18"/>
        </w:rPr>
        <w:t>Table 3 Comparison of oxidative stress indexes between the two groups before and after treatment（¯x±s）</w:t>
      </w:r>
    </w:p>
    <w:tbl>
      <w:tblPr>
        <w:tblStyle w:val="5"/>
        <w:tblW w:w="4998" w:type="pct"/>
        <w:jc w:val="center"/>
        <w:tblLayout w:type="autofit"/>
        <w:tblCellMar>
          <w:top w:w="15" w:type="dxa"/>
          <w:left w:w="15" w:type="dxa"/>
          <w:bottom w:w="15" w:type="dxa"/>
          <w:right w:w="15" w:type="dxa"/>
        </w:tblCellMar>
      </w:tblPr>
      <w:tblGrid>
        <w:gridCol w:w="910"/>
        <w:gridCol w:w="605"/>
        <w:gridCol w:w="935"/>
        <w:gridCol w:w="935"/>
        <w:gridCol w:w="786"/>
        <w:gridCol w:w="660"/>
        <w:gridCol w:w="927"/>
        <w:gridCol w:w="927"/>
        <w:gridCol w:w="824"/>
        <w:gridCol w:w="824"/>
      </w:tblGrid>
      <w:tr>
        <w:tblPrEx>
          <w:tblCellMar>
            <w:top w:w="15" w:type="dxa"/>
            <w:left w:w="15" w:type="dxa"/>
            <w:bottom w:w="15" w:type="dxa"/>
            <w:right w:w="15" w:type="dxa"/>
          </w:tblCellMar>
        </w:tblPrEx>
        <w:trPr>
          <w:trHeight w:val="340" w:hRule="atLeast"/>
          <w:jc w:val="center"/>
        </w:trPr>
        <w:tc>
          <w:tcPr>
            <w:tcW w:w="499" w:type="pct"/>
            <w:vMerge w:val="restart"/>
            <w:tcBorders>
              <w:top w:val="single" w:color="auto" w:sz="12"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Groups</w:t>
            </w:r>
          </w:p>
        </w:tc>
        <w:tc>
          <w:tcPr>
            <w:tcW w:w="368" w:type="pct"/>
            <w:vMerge w:val="restart"/>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Cases</w:t>
            </w:r>
          </w:p>
        </w:tc>
        <w:tc>
          <w:tcPr>
            <w:tcW w:w="1132" w:type="pct"/>
            <w:gridSpan w:val="2"/>
            <w:tcBorders>
              <w:top w:val="single" w:color="auto" w:sz="12" w:space="0"/>
              <w:left w:val="nil"/>
              <w:bottom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T-AOC（U/mL）</w:t>
            </w:r>
          </w:p>
        </w:tc>
        <w:tc>
          <w:tcPr>
            <w:tcW w:w="477" w:type="pct"/>
            <w:vMerge w:val="restart"/>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iCs/>
                <w:sz w:val="18"/>
                <w:szCs w:val="18"/>
              </w:rPr>
            </w:pPr>
            <w:r>
              <w:rPr>
                <w:rFonts w:hint="default" w:ascii="Times New Roman" w:hAnsi="Times New Roman" w:cs="Times New Roman"/>
                <w:i/>
                <w:iCs/>
                <w:sz w:val="18"/>
                <w:szCs w:val="18"/>
              </w:rPr>
              <w:t>t</w:t>
            </w:r>
          </w:p>
        </w:tc>
        <w:tc>
          <w:tcPr>
            <w:tcW w:w="401" w:type="pct"/>
            <w:vMerge w:val="restart"/>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i/>
                <w:iCs/>
                <w:sz w:val="18"/>
                <w:szCs w:val="18"/>
              </w:rPr>
              <w:t>P</w:t>
            </w:r>
          </w:p>
        </w:tc>
        <w:tc>
          <w:tcPr>
            <w:tcW w:w="1122" w:type="pct"/>
            <w:gridSpan w:val="2"/>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MDA(mmol/L)</w:t>
            </w:r>
          </w:p>
        </w:tc>
        <w:tc>
          <w:tcPr>
            <w:tcW w:w="499" w:type="pct"/>
            <w:vMerge w:val="restart"/>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i/>
                <w:iCs/>
                <w:sz w:val="18"/>
                <w:szCs w:val="18"/>
              </w:rPr>
              <w:t>t</w:t>
            </w:r>
          </w:p>
        </w:tc>
        <w:tc>
          <w:tcPr>
            <w:tcW w:w="499" w:type="pct"/>
            <w:vMerge w:val="restart"/>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i/>
                <w:iCs/>
                <w:sz w:val="18"/>
                <w:szCs w:val="18"/>
              </w:rPr>
              <w:t>P</w:t>
            </w:r>
          </w:p>
        </w:tc>
      </w:tr>
      <w:tr>
        <w:tblPrEx>
          <w:tblCellMar>
            <w:top w:w="15" w:type="dxa"/>
            <w:left w:w="15" w:type="dxa"/>
            <w:bottom w:w="15" w:type="dxa"/>
            <w:right w:w="15" w:type="dxa"/>
          </w:tblCellMar>
        </w:tblPrEx>
        <w:trPr>
          <w:trHeight w:val="339" w:hRule="atLeast"/>
          <w:jc w:val="center"/>
        </w:trPr>
        <w:tc>
          <w:tcPr>
            <w:tcW w:w="499" w:type="pct"/>
            <w:vMerge w:val="continue"/>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Times New Roman" w:hAnsi="Times New Roman" w:cs="Times New Roman"/>
                <w:sz w:val="18"/>
                <w:szCs w:val="18"/>
              </w:rPr>
            </w:pPr>
          </w:p>
        </w:tc>
        <w:tc>
          <w:tcPr>
            <w:tcW w:w="368" w:type="pct"/>
            <w:vMerge w:val="continue"/>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Times New Roman" w:hAnsi="Times New Roman" w:cs="Times New Roman"/>
                <w:kern w:val="0"/>
                <w:sz w:val="18"/>
                <w:szCs w:val="18"/>
              </w:rPr>
            </w:pPr>
          </w:p>
        </w:tc>
        <w:tc>
          <w:tcPr>
            <w:tcW w:w="566" w:type="pct"/>
            <w:tcBorders>
              <w:top w:val="single" w:color="auto" w:sz="4" w:space="0"/>
              <w:left w:val="nil"/>
              <w:bottom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Before treatment</w:t>
            </w:r>
          </w:p>
        </w:tc>
        <w:tc>
          <w:tcPr>
            <w:tcW w:w="566" w:type="pct"/>
            <w:tcBorders>
              <w:top w:val="single" w:color="auto" w:sz="4" w:space="0"/>
              <w:left w:val="nil"/>
              <w:bottom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After treatment</w:t>
            </w:r>
          </w:p>
        </w:tc>
        <w:tc>
          <w:tcPr>
            <w:tcW w:w="477" w:type="pct"/>
            <w:vMerge w:val="continue"/>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Times New Roman" w:hAnsi="Times New Roman" w:cs="Times New Roman"/>
                <w:i/>
                <w:iCs/>
                <w:sz w:val="18"/>
                <w:szCs w:val="18"/>
              </w:rPr>
            </w:pPr>
          </w:p>
        </w:tc>
        <w:tc>
          <w:tcPr>
            <w:tcW w:w="401" w:type="pct"/>
            <w:vMerge w:val="continue"/>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Times New Roman" w:hAnsi="Times New Roman" w:cs="Times New Roman"/>
                <w:sz w:val="18"/>
                <w:szCs w:val="18"/>
              </w:rPr>
            </w:pPr>
          </w:p>
        </w:tc>
        <w:tc>
          <w:tcPr>
            <w:tcW w:w="561" w:type="pct"/>
            <w:tcBorders>
              <w:top w:val="single" w:color="auto" w:sz="4" w:space="0"/>
              <w:left w:val="nil"/>
              <w:bottom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Before treatment</w:t>
            </w:r>
          </w:p>
        </w:tc>
        <w:tc>
          <w:tcPr>
            <w:tcW w:w="561" w:type="pct"/>
            <w:tcBorders>
              <w:top w:val="single" w:color="auto" w:sz="4" w:space="0"/>
              <w:left w:val="nil"/>
              <w:bottom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After treatment</w:t>
            </w:r>
          </w:p>
        </w:tc>
        <w:tc>
          <w:tcPr>
            <w:tcW w:w="499" w:type="pct"/>
            <w:vMerge w:val="continue"/>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Times New Roman" w:hAnsi="Times New Roman" w:cs="Times New Roman"/>
                <w:sz w:val="18"/>
                <w:szCs w:val="18"/>
              </w:rPr>
            </w:pPr>
          </w:p>
        </w:tc>
        <w:tc>
          <w:tcPr>
            <w:tcW w:w="499" w:type="pct"/>
            <w:vMerge w:val="continue"/>
            <w:tcBorders>
              <w:top w:val="single" w:color="auto" w:sz="12"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default" w:ascii="Times New Roman" w:hAnsi="Times New Roman" w:cs="Times New Roman"/>
                <w:sz w:val="18"/>
                <w:szCs w:val="18"/>
              </w:rPr>
            </w:pPr>
          </w:p>
        </w:tc>
      </w:tr>
      <w:tr>
        <w:tblPrEx>
          <w:tblCellMar>
            <w:top w:w="15" w:type="dxa"/>
            <w:left w:w="15" w:type="dxa"/>
            <w:bottom w:w="15" w:type="dxa"/>
            <w:right w:w="15" w:type="dxa"/>
          </w:tblCellMar>
        </w:tblPrEx>
        <w:trPr>
          <w:trHeight w:val="253" w:hRule="atLeast"/>
          <w:jc w:val="center"/>
        </w:trPr>
        <w:tc>
          <w:tcPr>
            <w:tcW w:w="499" w:type="pct"/>
            <w:tcBorders>
              <w:top w:val="single" w:color="auto" w:sz="4"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Observation group</w:t>
            </w:r>
          </w:p>
        </w:tc>
        <w:tc>
          <w:tcPr>
            <w:tcW w:w="368" w:type="pct"/>
            <w:tcBorders>
              <w:top w:val="single" w:color="auto" w:sz="4" w:space="0"/>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55</w:t>
            </w:r>
          </w:p>
        </w:tc>
        <w:tc>
          <w:tcPr>
            <w:tcW w:w="566" w:type="pct"/>
            <w:tcBorders>
              <w:top w:val="single" w:color="auto" w:sz="4"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9.72±3.13</w:t>
            </w:r>
          </w:p>
        </w:tc>
        <w:tc>
          <w:tcPr>
            <w:tcW w:w="566" w:type="pct"/>
            <w:tcBorders>
              <w:top w:val="single" w:color="auto" w:sz="4"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21.78±4.02</w:t>
            </w:r>
          </w:p>
        </w:tc>
        <w:tc>
          <w:tcPr>
            <w:tcW w:w="477" w:type="pct"/>
            <w:tcBorders>
              <w:top w:val="single" w:color="auto" w:sz="4"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-17.555</w:t>
            </w:r>
          </w:p>
        </w:tc>
        <w:tc>
          <w:tcPr>
            <w:tcW w:w="401" w:type="pct"/>
            <w:tcBorders>
              <w:top w:val="single" w:color="auto" w:sz="4"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0.000</w:t>
            </w:r>
          </w:p>
        </w:tc>
        <w:tc>
          <w:tcPr>
            <w:tcW w:w="561" w:type="pct"/>
            <w:tcBorders>
              <w:top w:val="single" w:color="auto" w:sz="4"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3.75±0.63</w:t>
            </w:r>
          </w:p>
        </w:tc>
        <w:tc>
          <w:tcPr>
            <w:tcW w:w="561" w:type="pct"/>
            <w:tcBorders>
              <w:top w:val="single" w:color="auto" w:sz="4"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2.38±0.38</w:t>
            </w:r>
          </w:p>
        </w:tc>
        <w:tc>
          <w:tcPr>
            <w:tcW w:w="499" w:type="pct"/>
            <w:tcBorders>
              <w:top w:val="single" w:color="auto" w:sz="4"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13.810</w:t>
            </w:r>
          </w:p>
        </w:tc>
        <w:tc>
          <w:tcPr>
            <w:tcW w:w="499" w:type="pct"/>
            <w:tcBorders>
              <w:top w:val="single" w:color="auto" w:sz="4" w:space="0"/>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0.000</w:t>
            </w:r>
          </w:p>
        </w:tc>
      </w:tr>
      <w:tr>
        <w:tblPrEx>
          <w:tblCellMar>
            <w:top w:w="15" w:type="dxa"/>
            <w:left w:w="15" w:type="dxa"/>
            <w:bottom w:w="15" w:type="dxa"/>
            <w:right w:w="15" w:type="dxa"/>
          </w:tblCellMar>
        </w:tblPrEx>
        <w:trPr>
          <w:trHeight w:val="253" w:hRule="atLeast"/>
          <w:jc w:val="center"/>
        </w:trPr>
        <w:tc>
          <w:tcPr>
            <w:tcW w:w="499" w:type="pct"/>
            <w:tcBorders>
              <w:top w:val="nil"/>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Control Group</w:t>
            </w:r>
          </w:p>
        </w:tc>
        <w:tc>
          <w:tcPr>
            <w:tcW w:w="368" w:type="pct"/>
            <w:tcBorders>
              <w:top w:val="nil"/>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sz w:val="18"/>
                <w:szCs w:val="18"/>
              </w:rPr>
            </w:pPr>
            <w:r>
              <w:rPr>
                <w:rFonts w:hint="default" w:ascii="Times New Roman" w:hAnsi="Times New Roman" w:cs="Times New Roman"/>
                <w:sz w:val="18"/>
                <w:szCs w:val="18"/>
              </w:rPr>
              <w:t>55</w:t>
            </w:r>
          </w:p>
        </w:tc>
        <w:tc>
          <w:tcPr>
            <w:tcW w:w="566"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10.15±3.26</w:t>
            </w:r>
          </w:p>
        </w:tc>
        <w:tc>
          <w:tcPr>
            <w:tcW w:w="566"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15.82±3.91</w:t>
            </w:r>
          </w:p>
        </w:tc>
        <w:tc>
          <w:tcPr>
            <w:tcW w:w="477"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-8.260</w:t>
            </w:r>
          </w:p>
        </w:tc>
        <w:tc>
          <w:tcPr>
            <w:tcW w:w="401"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0.000</w:t>
            </w:r>
          </w:p>
        </w:tc>
        <w:tc>
          <w:tcPr>
            <w:tcW w:w="561"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3.63±0.61</w:t>
            </w:r>
          </w:p>
        </w:tc>
        <w:tc>
          <w:tcPr>
            <w:tcW w:w="561"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3.08±0.43</w:t>
            </w:r>
          </w:p>
        </w:tc>
        <w:tc>
          <w:tcPr>
            <w:tcW w:w="499"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5.465</w:t>
            </w:r>
          </w:p>
        </w:tc>
        <w:tc>
          <w:tcPr>
            <w:tcW w:w="499"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0.000</w:t>
            </w:r>
          </w:p>
        </w:tc>
      </w:tr>
      <w:tr>
        <w:tblPrEx>
          <w:tblCellMar>
            <w:top w:w="15" w:type="dxa"/>
            <w:left w:w="15" w:type="dxa"/>
            <w:bottom w:w="15" w:type="dxa"/>
            <w:right w:w="15" w:type="dxa"/>
          </w:tblCellMar>
        </w:tblPrEx>
        <w:trPr>
          <w:trHeight w:val="347" w:hRule="atLeast"/>
          <w:jc w:val="center"/>
        </w:trPr>
        <w:tc>
          <w:tcPr>
            <w:tcW w:w="499" w:type="pct"/>
            <w:tcBorders>
              <w:top w:val="nil"/>
              <w:left w:val="nil"/>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iCs/>
                <w:sz w:val="18"/>
                <w:szCs w:val="18"/>
              </w:rPr>
            </w:pPr>
            <w:r>
              <w:rPr>
                <w:rFonts w:hint="default" w:ascii="Times New Roman" w:hAnsi="Times New Roman" w:cs="Times New Roman"/>
                <w:i/>
                <w:iCs/>
                <w:sz w:val="18"/>
                <w:szCs w:val="18"/>
              </w:rPr>
              <w:t>t</w:t>
            </w:r>
          </w:p>
        </w:tc>
        <w:tc>
          <w:tcPr>
            <w:tcW w:w="368"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566"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-0.706</w:t>
            </w:r>
          </w:p>
        </w:tc>
        <w:tc>
          <w:tcPr>
            <w:tcW w:w="566"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7.882</w:t>
            </w:r>
          </w:p>
        </w:tc>
        <w:tc>
          <w:tcPr>
            <w:tcW w:w="477"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401"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561"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1.015</w:t>
            </w:r>
          </w:p>
        </w:tc>
        <w:tc>
          <w:tcPr>
            <w:tcW w:w="561"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-9.047</w:t>
            </w:r>
          </w:p>
        </w:tc>
        <w:tc>
          <w:tcPr>
            <w:tcW w:w="499"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499" w:type="pct"/>
            <w:tcBorders>
              <w:top w:val="nil"/>
              <w:left w:val="nil"/>
              <w:bottom w:val="nil"/>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r>
      <w:tr>
        <w:tblPrEx>
          <w:tblCellMar>
            <w:top w:w="15" w:type="dxa"/>
            <w:left w:w="15" w:type="dxa"/>
            <w:bottom w:w="15" w:type="dxa"/>
            <w:right w:w="15" w:type="dxa"/>
          </w:tblCellMar>
        </w:tblPrEx>
        <w:trPr>
          <w:trHeight w:val="347" w:hRule="atLeast"/>
          <w:jc w:val="center"/>
        </w:trPr>
        <w:tc>
          <w:tcPr>
            <w:tcW w:w="499" w:type="pct"/>
            <w:tcBorders>
              <w:top w:val="nil"/>
              <w:left w:val="nil"/>
              <w:bottom w:val="single" w:color="auto" w:sz="4"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default" w:ascii="Times New Roman" w:hAnsi="Times New Roman" w:cs="Times New Roman"/>
                <w:i/>
                <w:iCs/>
                <w:sz w:val="18"/>
                <w:szCs w:val="18"/>
              </w:rPr>
            </w:pPr>
            <w:r>
              <w:rPr>
                <w:rFonts w:hint="default" w:ascii="Times New Roman" w:hAnsi="Times New Roman" w:cs="Times New Roman"/>
                <w:i/>
                <w:iCs/>
                <w:sz w:val="18"/>
                <w:szCs w:val="18"/>
              </w:rPr>
              <w:t>P</w:t>
            </w:r>
          </w:p>
        </w:tc>
        <w:tc>
          <w:tcPr>
            <w:tcW w:w="368" w:type="pct"/>
            <w:tcBorders>
              <w:top w:val="nil"/>
              <w:left w:val="nil"/>
              <w:bottom w:val="single" w:color="auto" w:sz="4"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566" w:type="pct"/>
            <w:tcBorders>
              <w:top w:val="nil"/>
              <w:left w:val="nil"/>
              <w:bottom w:val="single" w:color="auto" w:sz="4"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0.482</w:t>
            </w:r>
          </w:p>
        </w:tc>
        <w:tc>
          <w:tcPr>
            <w:tcW w:w="566" w:type="pct"/>
            <w:tcBorders>
              <w:top w:val="nil"/>
              <w:left w:val="nil"/>
              <w:bottom w:val="single" w:color="auto" w:sz="4"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0.000</w:t>
            </w:r>
          </w:p>
        </w:tc>
        <w:tc>
          <w:tcPr>
            <w:tcW w:w="477" w:type="pct"/>
            <w:tcBorders>
              <w:top w:val="nil"/>
              <w:left w:val="nil"/>
              <w:bottom w:val="single" w:color="auto" w:sz="4"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401" w:type="pct"/>
            <w:tcBorders>
              <w:top w:val="nil"/>
              <w:left w:val="nil"/>
              <w:bottom w:val="single" w:color="auto" w:sz="4"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561" w:type="pct"/>
            <w:tcBorders>
              <w:top w:val="nil"/>
              <w:left w:val="nil"/>
              <w:bottom w:val="single" w:color="auto" w:sz="4"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0.312</w:t>
            </w:r>
          </w:p>
        </w:tc>
        <w:tc>
          <w:tcPr>
            <w:tcW w:w="561" w:type="pct"/>
            <w:tcBorders>
              <w:top w:val="nil"/>
              <w:left w:val="nil"/>
              <w:bottom w:val="single" w:color="auto" w:sz="4"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r>
              <w:rPr>
                <w:rFonts w:hint="default" w:ascii="Times New Roman" w:hAnsi="Times New Roman" w:cs="Times New Roman"/>
                <w:sz w:val="18"/>
                <w:szCs w:val="18"/>
              </w:rPr>
              <w:t>0.000</w:t>
            </w:r>
          </w:p>
        </w:tc>
        <w:tc>
          <w:tcPr>
            <w:tcW w:w="499" w:type="pct"/>
            <w:tcBorders>
              <w:top w:val="nil"/>
              <w:left w:val="nil"/>
              <w:bottom w:val="single" w:color="auto" w:sz="4"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c>
          <w:tcPr>
            <w:tcW w:w="499" w:type="pct"/>
            <w:tcBorders>
              <w:top w:val="nil"/>
              <w:left w:val="nil"/>
              <w:bottom w:val="single" w:color="auto" w:sz="4" w:space="0"/>
              <w:right w:val="nil"/>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rPr>
                <w:rFonts w:hint="default" w:ascii="Times New Roman" w:hAnsi="Times New Roman" w:cs="Times New Roman"/>
                <w:sz w:val="18"/>
                <w:szCs w:val="18"/>
              </w:rPr>
            </w:pPr>
          </w:p>
        </w:tc>
      </w:tr>
    </w:tbl>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b/>
          <w:sz w:val="18"/>
          <w:szCs w:val="18"/>
        </w:rPr>
        <w:sectPr>
          <w:type w:val="continuous"/>
          <w:pgSz w:w="11906" w:h="16838"/>
          <w:pgMar w:top="1440" w:right="1800" w:bottom="1440" w:left="1800" w:header="851" w:footer="992" w:gutter="0"/>
          <w:pgNumType w:fmt="decimal"/>
          <w:cols w:space="425" w:num="1"/>
          <w:titlePg/>
          <w:docGrid w:type="lines" w:linePitch="312" w:charSpace="0"/>
        </w:sectPr>
      </w:pP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b/>
          <w:sz w:val="18"/>
          <w:szCs w:val="18"/>
        </w:rPr>
      </w:pPr>
      <w:r>
        <w:rPr>
          <w:rFonts w:hint="default" w:ascii="Times New Roman" w:hAnsi="Times New Roman" w:cs="Times New Roman"/>
          <w:b/>
          <w:sz w:val="18"/>
          <w:szCs w:val="18"/>
        </w:rPr>
        <w:t>Discussion</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r>
        <w:rPr>
          <w:rFonts w:hint="default" w:ascii="Times New Roman" w:hAnsi="Times New Roman" w:cs="Times New Roman"/>
          <w:sz w:val="18"/>
          <w:szCs w:val="18"/>
        </w:rPr>
        <w:t>Cerebral infarction accounts for about 70% of all stroke cases, with high morbidity and disability, and it is also an important cause of death to patients. It has been reported [6] that the pathological process of brain injury in patients with cerebral infarction is related to inflammation and oxidative stress. Cerebral infarction will promote the release of inflammatory cytokines, accompanied with the induced production of chemokines and adhesion molecules, to activate white blood cells, causing inflammatory immune cells to invade brain injury tissues, thereby triggering inflammatory response. In addition, a large amount of oxygen free radicals will be produced after cerebral infarction and result in overload of calcium ions in nerve cells, triggering acidosis and promoting cell apoptosis, thus further aggravating brain damage. The interaction of inflammation and oxidative stress together will seriously affects the prognosis of patients. Therefore, controlling inflammation and anti-oxidative stress is the key for clinical treatment of cerebral infarction.</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r>
        <w:rPr>
          <w:rFonts w:hint="default" w:ascii="Times New Roman" w:hAnsi="Times New Roman" w:cs="Times New Roman"/>
          <w:sz w:val="18"/>
          <w:szCs w:val="18"/>
        </w:rPr>
        <w:t>Lipoic acid is a coenzyme existing in the mitochondria, with a high electrophilicity and strong ability to scavenge oxygen free radicals. Lipoic acid has been widely used in the clinical treatment of diabetes and its chronic complications. Evangelos Agathos et al [7] used lipoic acid to treat patients with diabetic neuropathy, and found that it can effectively reduce neuropathy symptoms and improve patients’ quality of life. In an animal study, Yang Liu et al [8] treated brain-injured mice with lipoic acid, and observed that the drug can inhibit oxidative stress and inflammation, showing a better protective effect on the mouse brain tissues. To further expand the scope of clinical treatment of lipoic acid, this study applied lipoic acid injection in the clinical treatment of patients with cerebral infarction. It was found that the therapeutic effect of the drug on the cerebral infarction patients was noticeably better than the conventional treatment of using cerebral infarction alone. This may be related to the functions that lipoic acid could relieve oxidative stress and controlling inflammation.</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r>
        <w:rPr>
          <w:rFonts w:hint="default" w:ascii="Times New Roman" w:hAnsi="Times New Roman" w:cs="Times New Roman"/>
          <w:sz w:val="18"/>
          <w:szCs w:val="18"/>
        </w:rPr>
        <w:t>In order to explore the mechanism of lipoic acid in the oxidative stress response of patients with cerebral infarction, we measured the patient's T-AOC and MDA levels to assess oxidative stress response in patients’ bodies. T-AOC is a clinical indicator that reflects the body's total antioxidant capacity. MDA, which is the final product of lipid peroxides and an important factor leading to cell senescence and death, is often used to assess the degree of damage to tissue cells. The results of this study showed that lipoic acid injection can increase the level of T-AOC in patients with cerebral infarction and reduce the level of MDA, with a degree of improvement significantly better than that of using conventional treatment alone. This indicated that lipoic acid injection has good antioxidant properties in protecting brain tissues. According to previous reports [9], lipoic acid can easily penetrate the blood-brain barrier, effectively remove active oxygen free radicals, can also chelate metal ions, repair oxidized proteins, and promote endogenous and exogenous antioxidants such as vitamin C, and regenerate glutathione, thereby alleviating oxidative stress and reducing brain damage.</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r>
        <w:rPr>
          <w:rFonts w:hint="default" w:ascii="Times New Roman" w:hAnsi="Times New Roman" w:cs="Times New Roman"/>
          <w:sz w:val="18"/>
          <w:szCs w:val="18"/>
        </w:rPr>
        <w:t>A number of studies have shown [10,11] that due to increased oxidative stress response in patients with cerebral infarction, the serum levels of IL-6, IL-8, and sICAM-1 in patients also increase correspondingly, and this is related to certain neurological deficits in patients to some extent. IL-6, IL-8, and sICAM-1 play important roles in the body's inflammatory response. Among them, IL-6 has a variety of biological activities and is an important pro-inflammatory factor that induces the body's inflammatory response. sICAM-1 is a kind of adhesion molecule that promote the aggregation and adhesion of white blood cells. IL-8, which is mainly produced by T lymphocytes and macrophages, participates in inflammation and also regulates adhesion molecules, promote the adhesion between endothelial cells and white blood cells, thus further enhancing inflammation reaction. After treatment with lipoic acid injection, the levels of IL-6, IL-8, and sICAM-1 in the patients with cerebral infarction were significantly reduced. This is similar to the results of Shaafi S et al [12] who indicated that lipoic acid injection has a better anti-inflammatory effect. Lipoic acid can not only improve inflammation by reducing oxidative stress, but also restore blood perfusion disorders in neurotrophic blood vessels, improve nerve conduction velocity, reduce endothelial vascular damage, accumulation and adhesion of white blood cells, inflammatory factors and adhesion molecules, thereby further improving the inflammatory response and promoting the recovery of brain tissues.</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r>
        <w:rPr>
          <w:rFonts w:hint="default" w:ascii="Times New Roman" w:hAnsi="Times New Roman" w:cs="Times New Roman"/>
          <w:sz w:val="18"/>
          <w:szCs w:val="18"/>
        </w:rPr>
        <w:t>In summary, lipoic acid injection is effective in treating patients with cerebral infarction, as it could reduce the release of inflammatory factors improve the body's oxidative stress response and promote brain tissue recovery.</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p>
    <w:p>
      <w:pPr>
        <w:keepNext w:val="0"/>
        <w:keepLines w:val="0"/>
        <w:widowControl/>
        <w:suppressLineNumbers w:val="0"/>
        <w:jc w:val="left"/>
      </w:pPr>
      <w:r>
        <w:rPr>
          <w:rFonts w:hint="default" w:ascii="Times New Roman" w:hAnsi="Times New Roman" w:eastAsia="宋体" w:cs="Times New Roman"/>
          <w:b/>
          <w:bCs/>
          <w:color w:val="000000"/>
          <w:kern w:val="0"/>
          <w:sz w:val="18"/>
          <w:szCs w:val="18"/>
          <w:lang w:val="en-US" w:eastAsia="zh-CN" w:bidi="ar"/>
        </w:rPr>
        <w:t>Declaration of conflict-of-interest</w:t>
      </w:r>
    </w:p>
    <w:p>
      <w:pPr>
        <w:keepNext w:val="0"/>
        <w:keepLines w:val="0"/>
        <w:widowControl/>
        <w:suppressLineNumbers w:val="0"/>
        <w:jc w:val="left"/>
      </w:pPr>
      <w:r>
        <w:rPr>
          <w:rFonts w:hint="default" w:ascii="Times New Roman" w:hAnsi="Times New Roman" w:eastAsia="宋体" w:cs="Times New Roman"/>
          <w:color w:val="000000"/>
          <w:kern w:val="0"/>
          <w:sz w:val="18"/>
          <w:szCs w:val="18"/>
          <w:lang w:val="en-US" w:eastAsia="zh-CN" w:bidi="ar"/>
        </w:rPr>
        <w:t>The authors declare no conflict-of –interest.</w:t>
      </w: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sz w:val="18"/>
          <w:szCs w:val="18"/>
        </w:rPr>
      </w:pPr>
    </w:p>
    <w:p>
      <w:pPr>
        <w:keepNext w:val="0"/>
        <w:keepLines w:val="0"/>
        <w:pageBreakBefore w:val="0"/>
        <w:kinsoku/>
        <w:wordWrap/>
        <w:overflowPunct/>
        <w:topLinePunct w:val="0"/>
        <w:autoSpaceDE/>
        <w:autoSpaceDN/>
        <w:bidi w:val="0"/>
        <w:adjustRightInd/>
        <w:snapToGrid/>
        <w:spacing w:line="240" w:lineRule="auto"/>
        <w:rPr>
          <w:rFonts w:hint="default" w:ascii="Times New Roman" w:hAnsi="Times New Roman" w:cs="Times New Roman"/>
          <w:b/>
          <w:bCs/>
          <w:sz w:val="18"/>
          <w:szCs w:val="18"/>
        </w:rPr>
      </w:pPr>
      <w:r>
        <w:rPr>
          <w:rFonts w:hint="default" w:ascii="Times New Roman" w:hAnsi="Times New Roman" w:cs="Times New Roman"/>
          <w:b/>
          <w:bCs/>
          <w:sz w:val="18"/>
          <w:szCs w:val="18"/>
        </w:rPr>
        <w:t>References</w:t>
      </w: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 Tan Y F, Zhan L X, Chen X H, et al. Risk Factors, Clinical Features and Prognosis for Subtypes of Ischemic Stroke in a Chinese Population[J]. Current Medical Science, 2018, 38(2):296-303.</w:t>
      </w: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 Crispo J A G, Thibault D P, Fortin Y, et al. Association between medication-related adverse events and non-elective readmission in acute ischemic stroke[J]. BMC Neurology, 2018, 18(1):192.</w:t>
      </w: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[3] Lv C, Maharjan S, Wang Q, et al. α-Lipoic Acid Promotes Neurological Recovery After Ischemic Stroke by Activating the Nrf2/HO-1 Pathway to Attenuate Oxidative Damage[J]. Cellular Physiology &amp; Biochemistry, 2017, 43(3):1273-1287.</w:t>
      </w: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[4] Nentwich LM. Diagnosis of Acute Ischemic Stoke[J]. Emergency Medicine Clinics of North America, 2016, 34(4):837-859.</w:t>
      </w: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[5] Lyden P. Using the National Institutes of Health Stroke Scale A Cautionary Tale[J]. Stroke A Journal of Cerebral Circulation, 2017, 48(2):513-519.</w:t>
      </w: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[6] Edwards D N, Bix G J. The Inflammatory Response After Ischemic Stroke: Targeting β2 and β1 Integrins[J]. Frontiers in Neuroscience, 2019, 13: 540.</w:t>
      </w: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[7] Agathos E, Tentolouris A, Eleftheriadou I, et al. Effect of α-lipoic acid on symptoms and quality of life in patients with painful diabetic neuropathy[J]. The Journal of international medical research, 2018, 46(5):1779-1790.</w:t>
      </w: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[8] Liu Y, Zhang Q, Wang L, et al. The α-lipoic acid improves high-fat diet-induced cerebral damage through inhibition of oxidative stress and inflammatory reaction[J]. Environmental Toxicology &amp; Pharmacology, 2017, 56:219-224.</w:t>
      </w: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[9] Tutelyan VA, Makhova AA, Pogozheva AV, et al. Lipoic acid: physiological role and prospects for clinical application [J]. Vopr Pitan, 2019, 88(4):6-11.</w:t>
      </w: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[10] Jenny NS, Callas PW, Judd SE, et al. Inflammatory cytokines and ischemic stroke risk: The REGARDS cohort[J]. Neurology, 2019, 92(20):e2375-e2384.</w:t>
      </w: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[11] Wu B N, Wu J, Hao D L, et al. High serum sICAM-1 is correlated with cerebral microbleeds and hemorrhagic transformation in ischemic stroke patients[J]. British Journal of Neurosurgery, 2018, 32(6):631-636.</w:t>
      </w:r>
    </w:p>
    <w:p>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[12] Shaafi S, Ebrahimpour-Koujan S, Khalili M, et al. Effects of Alpha Lipoic Acid Supplementation on Serum Levels of Oxidative Stress, Inflammatory Markers and Clinical Prognosis among Acute Ischemic Stroke Patients: A Randomized, Double Blind, TNS Trial[J]. Adv Pharm Bull, 2020, 10(2):284-289.</w:t>
      </w:r>
    </w:p>
    <w:p>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cs="Times New Roman"/>
          <w:color w:val="000000" w:themeColor="text1"/>
          <w:sz w:val="18"/>
          <w:szCs w:val="18"/>
          <w:lang w:val="en-US" w:eastAsia="zh-CN"/>
          <w14:textFill>
            <w14:solidFill>
              <w14:schemeClr w14:val="tx1"/>
            </w14:solidFill>
          </w14:textFill>
        </w:rPr>
        <w:sectPr>
          <w:footerReference r:id="rId17" w:type="default"/>
          <w:footerReference r:id="rId18" w:type="even"/>
          <w:type w:val="continuous"/>
          <w:pgSz w:w="11906" w:h="16838"/>
          <w:pgMar w:top="1440" w:right="1800" w:bottom="1440" w:left="1800" w:header="851" w:footer="992" w:gutter="0"/>
          <w:pgNumType w:fmt="decimal"/>
          <w:cols w:equalWidth="0" w:num="2">
            <w:col w:w="3940" w:space="425"/>
            <w:col w:w="3940"/>
          </w:cols>
          <w:titlePg/>
          <w:docGrid w:type="lines" w:linePitch="312" w:charSpace="0"/>
        </w:sectPr>
      </w:pPr>
    </w:p>
    <w:p>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cs="Times New Roman"/>
          <w:color w:val="000000" w:themeColor="text1"/>
          <w:sz w:val="18"/>
          <w:szCs w:val="18"/>
          <w:lang w:val="en-US" w:eastAsia="zh-CN"/>
          <w14:textFill>
            <w14:solidFill>
              <w14:schemeClr w14:val="tx1"/>
            </w14:solidFill>
          </w14:textFill>
        </w:rPr>
      </w:pPr>
      <w:bookmarkStart w:id="0" w:name="_GoBack"/>
      <w:bookmarkEnd w:id="0"/>
    </w:p>
    <w:sectPr>
      <w:type w:val="continuous"/>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mc:AlternateContent>
        <mc:Choice Requires="wps">
          <w:drawing>
            <wp:anchor distT="0" distB="0" distL="114300" distR="114300" simplePos="0" relativeHeight="251662336" behindDoc="0" locked="0" layoutInCell="1" allowOverlap="1">
              <wp:simplePos x="0" y="0"/>
              <wp:positionH relativeFrom="margin">
                <wp:posOffset>0</wp:posOffset>
              </wp:positionH>
              <wp:positionV relativeFrom="paragraph">
                <wp:posOffset>-26670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Arial" w:hAnsi="Arial" w:cs="Arial" w:eastAsiaTheme="minorEastAsia"/>
                              <w:b/>
                              <w:bCs/>
                              <w:lang w:val="en-US" w:eastAsia="zh-CN"/>
                            </w:rPr>
                          </w:pPr>
                          <w:r>
                            <w:rPr>
                              <w:rFonts w:hint="eastAsia" w:ascii="Arial" w:hAnsi="Arial" w:cs="Arial"/>
                              <w:b/>
                              <w:bCs/>
                              <w:lang w:val="en-US" w:eastAsia="zh-CN"/>
                            </w:rPr>
                            <w:t>42</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0pt;margin-top:-2.1pt;height:144pt;width:144pt;mso-position-horizontal-relative:margin;mso-wrap-style:none;z-index:251662336;mso-width-relative:page;mso-height-relative:page;" filled="f" stroked="f" coordsize="21600,21600" o:gfxdata="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Ju71tQAAAAHAQAADwAAAAAAAAABACAAAAAiAAAAZHJzL2Rvd25yZXYueG1sUEsBAhQAFAAA&#10;AAgAh07iQJ66C/ssAgAAVQQAAA4AAAAAAAAAAQAgAAAAIwEAAGRycy9lMm9Eb2MueG1sUEsFBgAA&#10;AAAGAAYAWQEAAMEFAAAAAA==&#10;">
              <v:fill on="f" focussize="0,0"/>
              <v:stroke on="f" weight="0.5pt"/>
              <v:imagedata o:title=""/>
              <o:lock v:ext="edit" aspectratio="f"/>
              <v:textbox inset="0mm,0mm,0mm,0mm" style="mso-fit-shape-to-text:t;">
                <w:txbxContent>
                  <w:p>
                    <w:pPr>
                      <w:pStyle w:val="3"/>
                      <w:rPr>
                        <w:rFonts w:hint="default" w:ascii="Arial" w:hAnsi="Arial" w:cs="Arial" w:eastAsiaTheme="minorEastAsia"/>
                        <w:b/>
                        <w:bCs/>
                        <w:lang w:val="en-US" w:eastAsia="zh-CN"/>
                      </w:rPr>
                    </w:pPr>
                    <w:r>
                      <w:rPr>
                        <w:rFonts w:hint="eastAsia" w:ascii="Arial" w:hAnsi="Arial" w:cs="Arial"/>
                        <w:b/>
                        <w:bCs/>
                        <w:lang w:val="en-US" w:eastAsia="zh-CN"/>
                      </w:rPr>
                      <w:t>42</w:t>
                    </w:r>
                  </w:p>
                </w:txbxContent>
              </v:textbox>
            </v:shape>
          </w:pict>
        </mc:Fallback>
      </mc:AlternateContent>
    </w:r>
    <w:r>
      <w:rPr>
        <w:rFonts w:hint="eastAsia" w:ascii="Arial" w:hAnsi="Arial" w:cs="Arial"/>
        <w:b/>
        <w:bCs/>
        <w:sz w:val="13"/>
        <w:szCs w:val="13"/>
      </w:rPr>
      <w:tab/>
    </w:r>
    <w:r>
      <w:rPr>
        <w:rFonts w:hint="eastAsia" w:ascii="Arial" w:hAnsi="Arial" w:cs="Arial"/>
        <w:b/>
        <w:bCs/>
        <w:sz w:val="13"/>
        <w:szCs w:val="13"/>
      </w:rPr>
      <w:t xml:space="preserve">                                                 </w:t>
    </w:r>
    <w:r>
      <w:rPr>
        <w:rFonts w:ascii="Arial" w:hAnsi="Arial" w:cs="Arial"/>
        <w:sz w:val="13"/>
        <w:szCs w:val="13"/>
      </w:rPr>
      <w:t>©202</w:t>
    </w:r>
    <w:r>
      <w:rPr>
        <w:rFonts w:hint="eastAsia" w:ascii="Arial" w:hAnsi="Arial" w:cs="Arial"/>
        <w:sz w:val="13"/>
        <w:szCs w:val="13"/>
        <w:lang w:val="en-US" w:eastAsia="zh-CN"/>
      </w:rPr>
      <w:t>0</w:t>
    </w:r>
    <w:r>
      <w:rPr>
        <w:rFonts w:ascii="Arial" w:hAnsi="Arial" w:cs="Arial"/>
        <w:sz w:val="13"/>
        <w:szCs w:val="13"/>
      </w:rPr>
      <w:t xml:space="preserve"> The Authors. Diagnostic Brain Medicine published by WIE-Biotech Co., Ltd</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jc w:val="left"/>
      <w:textAlignment w:val="auto"/>
    </w:pPr>
    <w: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ascii="Arial" w:hAnsi="Arial" w:cs="Arial"/>
                              <w:b/>
                              <w:bCs/>
                            </w:rPr>
                            <w:fldChar w:fldCharType="begin"/>
                          </w:r>
                          <w:r>
                            <w:rPr>
                              <w:rFonts w:ascii="Arial" w:hAnsi="Arial" w:cs="Arial"/>
                              <w:b/>
                              <w:bCs/>
                            </w:rPr>
                            <w:instrText xml:space="preserve"> PAGE  \* MERGEFORMAT </w:instrText>
                          </w:r>
                          <w:r>
                            <w:rPr>
                              <w:rFonts w:ascii="Arial" w:hAnsi="Arial" w:cs="Arial"/>
                              <w:b/>
                              <w:bCs/>
                            </w:rPr>
                            <w:fldChar w:fldCharType="separate"/>
                          </w:r>
                          <w:r>
                            <w:rPr>
                              <w:rFonts w:ascii="Arial" w:hAnsi="Arial" w:cs="Arial"/>
                              <w:b/>
                              <w:bCs/>
                            </w:rPr>
                            <w:t>24</w:t>
                          </w:r>
                          <w:r>
                            <w:rPr>
                              <w:rFonts w:ascii="Arial" w:hAnsi="Arial" w:cs="Arial"/>
                              <w:b/>
                              <w:bC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pPr>
                      <w:pStyle w:val="3"/>
                    </w:pPr>
                    <w:r>
                      <w:rPr>
                        <w:rFonts w:ascii="Arial" w:hAnsi="Arial" w:cs="Arial"/>
                        <w:b/>
                        <w:bCs/>
                      </w:rPr>
                      <w:fldChar w:fldCharType="begin"/>
                    </w:r>
                    <w:r>
                      <w:rPr>
                        <w:rFonts w:ascii="Arial" w:hAnsi="Arial" w:cs="Arial"/>
                        <w:b/>
                        <w:bCs/>
                      </w:rPr>
                      <w:instrText xml:space="preserve"> PAGE  \* MERGEFORMAT </w:instrText>
                    </w:r>
                    <w:r>
                      <w:rPr>
                        <w:rFonts w:ascii="Arial" w:hAnsi="Arial" w:cs="Arial"/>
                        <w:b/>
                        <w:bCs/>
                      </w:rPr>
                      <w:fldChar w:fldCharType="separate"/>
                    </w:r>
                    <w:r>
                      <w:rPr>
                        <w:rFonts w:ascii="Arial" w:hAnsi="Arial" w:cs="Arial"/>
                        <w:b/>
                        <w:bCs/>
                      </w:rPr>
                      <w:t>24</w:t>
                    </w:r>
                    <w:r>
                      <w:rPr>
                        <w:rFonts w:ascii="Arial" w:hAnsi="Arial" w:cs="Arial"/>
                        <w:b/>
                        <w:bCs/>
                      </w:rPr>
                      <w:fldChar w:fldCharType="end"/>
                    </w:r>
                  </w:p>
                </w:txbxContent>
              </v:textbox>
            </v:shape>
          </w:pict>
        </mc:Fallback>
      </mc:AlternateContent>
    </w:r>
    <w:r>
      <w:rPr>
        <w:rFonts w:ascii="Arial" w:hAnsi="Arial" w:cs="Arial"/>
        <w:sz w:val="13"/>
        <w:szCs w:val="13"/>
      </w:rPr>
      <w:t>©202</w:t>
    </w:r>
    <w:r>
      <w:rPr>
        <w:rFonts w:hint="eastAsia" w:ascii="Arial" w:hAnsi="Arial" w:cs="Arial"/>
        <w:sz w:val="13"/>
        <w:szCs w:val="13"/>
        <w:lang w:val="en-US" w:eastAsia="zh-CN"/>
      </w:rPr>
      <w:t>0</w:t>
    </w:r>
    <w:r>
      <w:rPr>
        <w:rFonts w:ascii="Arial" w:hAnsi="Arial" w:cs="Arial"/>
        <w:sz w:val="13"/>
        <w:szCs w:val="13"/>
      </w:rPr>
      <w:t xml:space="preserve"> The Authors. </w:t>
    </w:r>
    <w:r>
      <w:rPr>
        <w:rFonts w:hint="eastAsia" w:ascii="Arial" w:hAnsi="Arial" w:eastAsia="Arial Unicode MS" w:cs="Arial"/>
        <w:sz w:val="13"/>
        <w:szCs w:val="13"/>
      </w:rPr>
      <w:t>Diagnostic Brain Medicine</w:t>
    </w:r>
    <w:r>
      <w:rPr>
        <w:rFonts w:ascii="Arial" w:hAnsi="Arial" w:cs="Arial"/>
        <w:sz w:val="13"/>
        <w:szCs w:val="13"/>
      </w:rPr>
      <w:t xml:space="preserve"> published by WIE-Biotech Co., Ltd</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jc w:val="right"/>
      <w:textAlignment w:val="auto"/>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ascii="Arial" w:hAnsi="Arial" w:cs="Arial"/>
                              <w:b/>
                              <w:bCs/>
                            </w:rPr>
                            <w:fldChar w:fldCharType="begin"/>
                          </w:r>
                          <w:r>
                            <w:rPr>
                              <w:rFonts w:ascii="Arial" w:hAnsi="Arial" w:cs="Arial"/>
                              <w:b/>
                              <w:bCs/>
                            </w:rPr>
                            <w:instrText xml:space="preserve"> PAGE  \* MERGEFORMAT </w:instrText>
                          </w:r>
                          <w:r>
                            <w:rPr>
                              <w:rFonts w:ascii="Arial" w:hAnsi="Arial" w:cs="Arial"/>
                              <w:b/>
                              <w:bCs/>
                            </w:rPr>
                            <w:fldChar w:fldCharType="separate"/>
                          </w:r>
                          <w:r>
                            <w:rPr>
                              <w:rFonts w:ascii="Arial" w:hAnsi="Arial" w:cs="Arial"/>
                              <w:b/>
                              <w:bCs/>
                            </w:rPr>
                            <w:t>24</w:t>
                          </w:r>
                          <w:r>
                            <w:rPr>
                              <w:rFonts w:ascii="Arial" w:hAnsi="Arial" w:cs="Arial"/>
                              <w:b/>
                              <w:bC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pStyle w:val="3"/>
                    </w:pPr>
                    <w:r>
                      <w:rPr>
                        <w:rFonts w:ascii="Arial" w:hAnsi="Arial" w:cs="Arial"/>
                        <w:b/>
                        <w:bCs/>
                      </w:rPr>
                      <w:fldChar w:fldCharType="begin"/>
                    </w:r>
                    <w:r>
                      <w:rPr>
                        <w:rFonts w:ascii="Arial" w:hAnsi="Arial" w:cs="Arial"/>
                        <w:b/>
                        <w:bCs/>
                      </w:rPr>
                      <w:instrText xml:space="preserve"> PAGE  \* MERGEFORMAT </w:instrText>
                    </w:r>
                    <w:r>
                      <w:rPr>
                        <w:rFonts w:ascii="Arial" w:hAnsi="Arial" w:cs="Arial"/>
                        <w:b/>
                        <w:bCs/>
                      </w:rPr>
                      <w:fldChar w:fldCharType="separate"/>
                    </w:r>
                    <w:r>
                      <w:rPr>
                        <w:rFonts w:ascii="Arial" w:hAnsi="Arial" w:cs="Arial"/>
                        <w:b/>
                        <w:bCs/>
                      </w:rPr>
                      <w:t>24</w:t>
                    </w:r>
                    <w:r>
                      <w:rPr>
                        <w:rFonts w:ascii="Arial" w:hAnsi="Arial" w:cs="Arial"/>
                        <w:b/>
                        <w:bCs/>
                      </w:rPr>
                      <w:fldChar w:fldCharType="end"/>
                    </w:r>
                  </w:p>
                </w:txbxContent>
              </v:textbox>
            </v:shape>
          </w:pict>
        </mc:Fallback>
      </mc:AlternateContent>
    </w:r>
    <w:r>
      <w:rPr>
        <w:rFonts w:ascii="Arial" w:hAnsi="Arial" w:cs="Arial"/>
        <w:sz w:val="13"/>
        <w:szCs w:val="13"/>
      </w:rPr>
      <w:t>©202</w:t>
    </w:r>
    <w:r>
      <w:rPr>
        <w:rFonts w:hint="eastAsia" w:ascii="Arial" w:hAnsi="Arial" w:cs="Arial"/>
        <w:sz w:val="13"/>
        <w:szCs w:val="13"/>
        <w:lang w:val="en-US" w:eastAsia="zh-CN"/>
      </w:rPr>
      <w:t>0</w:t>
    </w:r>
    <w:r>
      <w:rPr>
        <w:rFonts w:ascii="Arial" w:hAnsi="Arial" w:cs="Arial"/>
        <w:sz w:val="13"/>
        <w:szCs w:val="13"/>
      </w:rPr>
      <w:t xml:space="preserve"> The Authors. </w:t>
    </w:r>
    <w:r>
      <w:rPr>
        <w:rFonts w:hint="eastAsia" w:ascii="Arial" w:hAnsi="Arial" w:eastAsia="Arial Unicode MS" w:cs="Arial"/>
        <w:sz w:val="13"/>
        <w:szCs w:val="13"/>
      </w:rPr>
      <w:t>Diagnostic Brain Medicine</w:t>
    </w:r>
    <w:r>
      <w:rPr>
        <w:rFonts w:ascii="Arial" w:hAnsi="Arial" w:cs="Arial"/>
        <w:sz w:val="13"/>
        <w:szCs w:val="13"/>
      </w:rPr>
      <w:t xml:space="preserve"> published by WIE-Biotech Co., Ltd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ascii="Arial" w:hAnsi="Arial" w:eastAsia="宋体" w:cs="Arial"/>
        <w:b/>
        <w:bCs/>
        <w:sz w:val="21"/>
        <w:szCs w:val="21"/>
      </w:rPr>
      <w:t>6</w:t>
    </w:r>
    <w:r>
      <w:rPr>
        <w:rFonts w:ascii="Arial" w:hAnsi="Arial" w:eastAsia="宋体" w:cs="Arial"/>
        <w:b/>
        <w:bCs/>
        <w:sz w:val="13"/>
        <w:szCs w:val="13"/>
      </w:rPr>
      <w:ptab w:relativeTo="margin" w:alignment="center" w:leader="none"/>
    </w:r>
    <w:r>
      <w:rPr>
        <w:rFonts w:ascii="Arial" w:hAnsi="Arial" w:cs="Arial"/>
        <w:b/>
        <w:sz w:val="13"/>
        <w:szCs w:val="13"/>
      </w:rPr>
      <w:t>©2018 The Authors. Journal of Experimental and Clinical Application of Chinese Medicine published by WIE-Biotech Co., Ltd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jc w:val="both"/>
      <w:textAlignment w:val="auto"/>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ascii="Arial" w:hAnsi="Arial" w:cs="Arial"/>
                              <w:b/>
                              <w:bCs/>
                            </w:rPr>
                            <w:fldChar w:fldCharType="begin"/>
                          </w:r>
                          <w:r>
                            <w:rPr>
                              <w:rFonts w:ascii="Arial" w:hAnsi="Arial" w:cs="Arial"/>
                              <w:b/>
                              <w:bCs/>
                            </w:rPr>
                            <w:instrText xml:space="preserve"> PAGE  \* MERGEFORMAT </w:instrText>
                          </w:r>
                          <w:r>
                            <w:rPr>
                              <w:rFonts w:ascii="Arial" w:hAnsi="Arial" w:cs="Arial"/>
                              <w:b/>
                              <w:bCs/>
                            </w:rPr>
                            <w:fldChar w:fldCharType="separate"/>
                          </w:r>
                          <w:r>
                            <w:rPr>
                              <w:rFonts w:ascii="Arial" w:hAnsi="Arial" w:cs="Arial"/>
                              <w:b/>
                              <w:bCs/>
                            </w:rPr>
                            <w:t>24</w:t>
                          </w:r>
                          <w:r>
                            <w:rPr>
                              <w:rFonts w:ascii="Arial" w:hAnsi="Arial" w:cs="Arial"/>
                              <w:b/>
                              <w:bC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rPr>
                        <w:rFonts w:ascii="Arial" w:hAnsi="Arial" w:cs="Arial"/>
                        <w:b/>
                        <w:bCs/>
                      </w:rPr>
                      <w:fldChar w:fldCharType="begin"/>
                    </w:r>
                    <w:r>
                      <w:rPr>
                        <w:rFonts w:ascii="Arial" w:hAnsi="Arial" w:cs="Arial"/>
                        <w:b/>
                        <w:bCs/>
                      </w:rPr>
                      <w:instrText xml:space="preserve"> PAGE  \* MERGEFORMAT </w:instrText>
                    </w:r>
                    <w:r>
                      <w:rPr>
                        <w:rFonts w:ascii="Arial" w:hAnsi="Arial" w:cs="Arial"/>
                        <w:b/>
                        <w:bCs/>
                      </w:rPr>
                      <w:fldChar w:fldCharType="separate"/>
                    </w:r>
                    <w:r>
                      <w:rPr>
                        <w:rFonts w:ascii="Arial" w:hAnsi="Arial" w:cs="Arial"/>
                        <w:b/>
                        <w:bCs/>
                      </w:rPr>
                      <w:t>24</w:t>
                    </w:r>
                    <w:r>
                      <w:rPr>
                        <w:rFonts w:ascii="Arial" w:hAnsi="Arial" w:cs="Arial"/>
                        <w:b/>
                        <w:bCs/>
                      </w:rPr>
                      <w:fldChar w:fldCharType="end"/>
                    </w:r>
                  </w:p>
                </w:txbxContent>
              </v:textbox>
            </v:shape>
          </w:pict>
        </mc:Fallback>
      </mc:AlternateContent>
    </w:r>
    <w:r>
      <w:rPr>
        <w:rFonts w:ascii="Arial" w:hAnsi="Arial" w:cs="Arial"/>
        <w:sz w:val="13"/>
        <w:szCs w:val="13"/>
      </w:rPr>
      <w:t>©202</w:t>
    </w:r>
    <w:r>
      <w:rPr>
        <w:rFonts w:hint="eastAsia" w:ascii="Arial" w:hAnsi="Arial" w:cs="Arial"/>
        <w:sz w:val="13"/>
        <w:szCs w:val="13"/>
        <w:lang w:val="en-US" w:eastAsia="zh-CN"/>
      </w:rPr>
      <w:t>0</w:t>
    </w:r>
    <w:r>
      <w:rPr>
        <w:rFonts w:ascii="Arial" w:hAnsi="Arial" w:cs="Arial"/>
        <w:sz w:val="13"/>
        <w:szCs w:val="13"/>
      </w:rPr>
      <w:t xml:space="preserve"> The Authors. </w:t>
    </w:r>
    <w:r>
      <w:rPr>
        <w:rFonts w:hint="eastAsia" w:ascii="Arial" w:hAnsi="Arial" w:eastAsia="Arial Unicode MS" w:cs="Arial"/>
        <w:sz w:val="13"/>
        <w:szCs w:val="13"/>
      </w:rPr>
      <w:t>Diagnostic Brain Medicine</w:t>
    </w:r>
    <w:r>
      <w:rPr>
        <w:rFonts w:ascii="Arial" w:hAnsi="Arial" w:cs="Arial"/>
        <w:sz w:val="13"/>
        <w:szCs w:val="13"/>
      </w:rPr>
      <w:t xml:space="preserve"> published by WIE-Biotech Co., Ltd</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1312" behindDoc="0" locked="0" layoutInCell="1" allowOverlap="1">
              <wp:simplePos x="0" y="0"/>
              <wp:positionH relativeFrom="margin">
                <wp:posOffset>5140960</wp:posOffset>
              </wp:positionH>
              <wp:positionV relativeFrom="paragraph">
                <wp:posOffset>-17780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eastAsiaTheme="minorEastAsia"/>
                              <w:b/>
                              <w:bCs/>
                              <w:lang w:val="en-US" w:eastAsia="zh-CN"/>
                            </w:rPr>
                          </w:pPr>
                          <w:r>
                            <w:rPr>
                              <w:rFonts w:hint="eastAsia" w:ascii="Arial" w:hAnsi="Arial" w:cs="Arial"/>
                              <w:b/>
                              <w:bCs/>
                              <w:lang w:val="en-US" w:eastAsia="zh-CN"/>
                            </w:rPr>
                            <w:t>39</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404.8pt;margin-top:-1.4pt;height:144pt;width:144pt;mso-position-horizontal-relative:margin;mso-wrap-style:none;z-index:251661312;mso-width-relative:page;mso-height-relative:page;" filled="f" stroked="f" coordsize="21600,21600" o:gfxdata="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7Dbk/YAAAACwEAAA8AAAAAAAAAAQAgAAAAIgAAAGRycy9kb3ducmV2LnhtbFBLAQIU&#10;ABQAAAAIAIdO4kAXDIm4LAIAAFUEAAAOAAAAAAAAAAEAIAAAACcBAABkcnMvZTJvRG9jLnhtbFBL&#10;BQYAAAAABgAGAFkBAADFBQAAAAA=&#10;">
              <v:fill on="f" focussize="0,0"/>
              <v:stroke on="f" weight="0.5pt"/>
              <v:imagedata o:title=""/>
              <o:lock v:ext="edit" aspectratio="f"/>
              <v:textbox inset="0mm,0mm,0mm,0mm" style="mso-fit-shape-to-text:t;">
                <w:txbxContent>
                  <w:p>
                    <w:pPr>
                      <w:pStyle w:val="3"/>
                      <w:rPr>
                        <w:rFonts w:hint="default" w:eastAsiaTheme="minorEastAsia"/>
                        <w:b/>
                        <w:bCs/>
                        <w:lang w:val="en-US" w:eastAsia="zh-CN"/>
                      </w:rPr>
                    </w:pPr>
                    <w:r>
                      <w:rPr>
                        <w:rFonts w:hint="eastAsia" w:ascii="Arial" w:hAnsi="Arial" w:cs="Arial"/>
                        <w:b/>
                        <w:bCs/>
                        <w:lang w:val="en-US" w:eastAsia="zh-CN"/>
                      </w:rPr>
                      <w:t>39</w:t>
                    </w:r>
                  </w:p>
                </w:txbxContent>
              </v:textbox>
            </v:shape>
          </w:pict>
        </mc:Fallback>
      </mc:AlternateContent>
    </w:r>
    <w:r>
      <w:rPr>
        <w:rFonts w:ascii="Arial" w:hAnsi="Arial" w:cs="Arial"/>
        <w:sz w:val="13"/>
        <w:szCs w:val="13"/>
      </w:rPr>
      <w:t>©20</w:t>
    </w:r>
    <w:r>
      <w:rPr>
        <w:rFonts w:hint="eastAsia" w:ascii="Arial" w:hAnsi="Arial" w:cs="Arial"/>
        <w:sz w:val="13"/>
        <w:szCs w:val="13"/>
      </w:rPr>
      <w:t>2</w:t>
    </w:r>
    <w:r>
      <w:rPr>
        <w:rFonts w:hint="eastAsia" w:ascii="Arial" w:hAnsi="Arial" w:cs="Arial"/>
        <w:sz w:val="13"/>
        <w:szCs w:val="13"/>
        <w:lang w:val="en-US" w:eastAsia="zh-CN"/>
      </w:rPr>
      <w:t>0</w:t>
    </w:r>
    <w:r>
      <w:rPr>
        <w:rFonts w:ascii="Arial" w:hAnsi="Arial" w:cs="Arial"/>
        <w:sz w:val="13"/>
        <w:szCs w:val="13"/>
      </w:rPr>
      <w:t xml:space="preserve"> The Authors. </w:t>
    </w:r>
    <w:r>
      <w:rPr>
        <w:rFonts w:hint="eastAsia" w:ascii="Arial" w:hAnsi="Arial" w:eastAsia="Arial Unicode MS" w:cs="Arial"/>
        <w:sz w:val="13"/>
        <w:szCs w:val="13"/>
      </w:rPr>
      <w:t>Diagnostic Brain Medicine</w:t>
    </w:r>
    <w:r>
      <w:rPr>
        <w:rFonts w:ascii="Arial" w:hAnsi="Arial" w:cs="Arial"/>
        <w:sz w:val="13"/>
        <w:szCs w:val="13"/>
      </w:rPr>
      <w:t xml:space="preserve"> published by WIE-Biotech Co., Ltd</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ascii="Arial" w:hAnsi="Arial" w:cs="Arial"/>
        <w:b/>
        <w:bCs/>
        <w:sz w:val="13"/>
        <w:szCs w:val="13"/>
      </w:rPr>
      <w:tab/>
    </w:r>
    <w:r>
      <w:rPr>
        <w:rFonts w:hint="eastAsia" w:ascii="Arial" w:hAnsi="Arial" w:cs="Arial"/>
        <w:b/>
        <w:bCs/>
        <w:sz w:val="13"/>
        <w:szCs w:val="13"/>
      </w:rPr>
      <w:t xml:space="preserve">                                                  </w:t>
    </w:r>
    <w:r>
      <w:rPr>
        <w:rFonts w:ascii="Arial" w:hAnsi="Arial" w:cs="Arial"/>
        <w:b/>
        <w:bCs/>
        <w:sz w:val="13"/>
        <w:szCs w:val="13"/>
      </w:rPr>
      <w:t>©2021 The Authors. Diagnostic Brain Medicine published by WIE-Biotech Co., Ltd</w:t>
    </w: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Arial" w:hAnsi="Arial" w:cs="Arial"/>
                              <w:b/>
                              <w:bCs/>
                            </w:rPr>
                          </w:pPr>
                          <w:r>
                            <w:rPr>
                              <w:rFonts w:ascii="Arial" w:hAnsi="Arial" w:cs="Arial"/>
                              <w:b/>
                              <w:bCs/>
                            </w:rPr>
                            <w:fldChar w:fldCharType="begin"/>
                          </w:r>
                          <w:r>
                            <w:rPr>
                              <w:rFonts w:ascii="Arial" w:hAnsi="Arial" w:cs="Arial"/>
                              <w:b/>
                              <w:bCs/>
                            </w:rPr>
                            <w:instrText xml:space="preserve"> PAGE  \* MERGEFORMAT </w:instrText>
                          </w:r>
                          <w:r>
                            <w:rPr>
                              <w:rFonts w:ascii="Arial" w:hAnsi="Arial" w:cs="Arial"/>
                              <w:b/>
                              <w:bCs/>
                            </w:rPr>
                            <w:fldChar w:fldCharType="separate"/>
                          </w:r>
                          <w:r>
                            <w:rPr>
                              <w:rFonts w:ascii="Arial" w:hAnsi="Arial" w:cs="Arial"/>
                              <w:b/>
                              <w:bCs/>
                            </w:rPr>
                            <w:t>2</w:t>
                          </w:r>
                          <w:r>
                            <w:rPr>
                              <w:rFonts w:ascii="Arial" w:hAnsi="Arial" w:cs="Arial"/>
                              <w:b/>
                              <w:bC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pPr>
                      <w:pStyle w:val="3"/>
                      <w:rPr>
                        <w:rFonts w:ascii="Arial" w:hAnsi="Arial" w:cs="Arial"/>
                        <w:b/>
                        <w:bCs/>
                      </w:rPr>
                    </w:pPr>
                    <w:r>
                      <w:rPr>
                        <w:rFonts w:ascii="Arial" w:hAnsi="Arial" w:cs="Arial"/>
                        <w:b/>
                        <w:bCs/>
                      </w:rPr>
                      <w:fldChar w:fldCharType="begin"/>
                    </w:r>
                    <w:r>
                      <w:rPr>
                        <w:rFonts w:ascii="Arial" w:hAnsi="Arial" w:cs="Arial"/>
                        <w:b/>
                        <w:bCs/>
                      </w:rPr>
                      <w:instrText xml:space="preserve"> PAGE  \* MERGEFORMAT </w:instrText>
                    </w:r>
                    <w:r>
                      <w:rPr>
                        <w:rFonts w:ascii="Arial" w:hAnsi="Arial" w:cs="Arial"/>
                        <w:b/>
                        <w:bCs/>
                      </w:rPr>
                      <w:fldChar w:fldCharType="separate"/>
                    </w:r>
                    <w:r>
                      <w:rPr>
                        <w:rFonts w:ascii="Arial" w:hAnsi="Arial" w:cs="Arial"/>
                        <w:b/>
                        <w:bCs/>
                      </w:rPr>
                      <w:t>2</w:t>
                    </w:r>
                    <w:r>
                      <w:rPr>
                        <w:rFonts w:ascii="Arial" w:hAnsi="Arial" w:cs="Arial"/>
                        <w:b/>
                        <w:bCs/>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jc w:val="left"/>
      <w:textAlignment w:val="auto"/>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ascii="Arial" w:hAnsi="Arial" w:cs="Arial"/>
                              <w:b/>
                              <w:bCs/>
                            </w:rPr>
                            <w:fldChar w:fldCharType="begin"/>
                          </w:r>
                          <w:r>
                            <w:rPr>
                              <w:rFonts w:ascii="Arial" w:hAnsi="Arial" w:cs="Arial"/>
                              <w:b/>
                              <w:bCs/>
                            </w:rPr>
                            <w:instrText xml:space="preserve"> PAGE  \* MERGEFORMAT </w:instrText>
                          </w:r>
                          <w:r>
                            <w:rPr>
                              <w:rFonts w:ascii="Arial" w:hAnsi="Arial" w:cs="Arial"/>
                              <w:b/>
                              <w:bCs/>
                            </w:rPr>
                            <w:fldChar w:fldCharType="separate"/>
                          </w:r>
                          <w:r>
                            <w:rPr>
                              <w:rFonts w:ascii="Arial" w:hAnsi="Arial" w:cs="Arial"/>
                              <w:b/>
                              <w:bCs/>
                            </w:rPr>
                            <w:t>24</w:t>
                          </w:r>
                          <w:r>
                            <w:rPr>
                              <w:rFonts w:ascii="Arial" w:hAnsi="Arial" w:cs="Arial"/>
                              <w:b/>
                              <w:bC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ascii="Arial" w:hAnsi="Arial" w:cs="Arial"/>
                        <w:b/>
                        <w:bCs/>
                      </w:rPr>
                      <w:fldChar w:fldCharType="begin"/>
                    </w:r>
                    <w:r>
                      <w:rPr>
                        <w:rFonts w:ascii="Arial" w:hAnsi="Arial" w:cs="Arial"/>
                        <w:b/>
                        <w:bCs/>
                      </w:rPr>
                      <w:instrText xml:space="preserve"> PAGE  \* MERGEFORMAT </w:instrText>
                    </w:r>
                    <w:r>
                      <w:rPr>
                        <w:rFonts w:ascii="Arial" w:hAnsi="Arial" w:cs="Arial"/>
                        <w:b/>
                        <w:bCs/>
                      </w:rPr>
                      <w:fldChar w:fldCharType="separate"/>
                    </w:r>
                    <w:r>
                      <w:rPr>
                        <w:rFonts w:ascii="Arial" w:hAnsi="Arial" w:cs="Arial"/>
                        <w:b/>
                        <w:bCs/>
                      </w:rPr>
                      <w:t>24</w:t>
                    </w:r>
                    <w:r>
                      <w:rPr>
                        <w:rFonts w:ascii="Arial" w:hAnsi="Arial" w:cs="Arial"/>
                        <w:b/>
                        <w:bCs/>
                      </w:rPr>
                      <w:fldChar w:fldCharType="end"/>
                    </w:r>
                  </w:p>
                </w:txbxContent>
              </v:textbox>
            </v:shape>
          </w:pict>
        </mc:Fallback>
      </mc:AlternateContent>
    </w:r>
    <w:r>
      <w:rPr>
        <w:rFonts w:ascii="Arial" w:hAnsi="Arial" w:cs="Arial"/>
        <w:sz w:val="13"/>
        <w:szCs w:val="13"/>
      </w:rPr>
      <w:t>©202</w:t>
    </w:r>
    <w:r>
      <w:rPr>
        <w:rFonts w:hint="eastAsia" w:ascii="Arial" w:hAnsi="Arial" w:cs="Arial"/>
        <w:sz w:val="13"/>
        <w:szCs w:val="13"/>
        <w:lang w:val="en-US" w:eastAsia="zh-CN"/>
      </w:rPr>
      <w:t>0</w:t>
    </w:r>
    <w:r>
      <w:rPr>
        <w:rFonts w:ascii="Arial" w:hAnsi="Arial" w:cs="Arial"/>
        <w:sz w:val="13"/>
        <w:szCs w:val="13"/>
      </w:rPr>
      <w:t xml:space="preserve"> The Authors. </w:t>
    </w:r>
    <w:r>
      <w:rPr>
        <w:rFonts w:hint="eastAsia" w:ascii="Arial" w:hAnsi="Arial" w:eastAsia="Arial Unicode MS" w:cs="Arial"/>
        <w:sz w:val="13"/>
        <w:szCs w:val="13"/>
      </w:rPr>
      <w:t>Diagnostic Brain Medicine</w:t>
    </w:r>
    <w:r>
      <w:rPr>
        <w:rFonts w:ascii="Arial" w:hAnsi="Arial" w:cs="Arial"/>
        <w:sz w:val="13"/>
        <w:szCs w:val="13"/>
      </w:rPr>
      <w:t xml:space="preserve"> published by WIE-Biotech Co., Ltd</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jc w:val="right"/>
      <w:textAlignment w:val="auto"/>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ascii="Arial" w:hAnsi="Arial" w:cs="Arial"/>
                              <w:b/>
                              <w:bCs/>
                            </w:rPr>
                            <w:fldChar w:fldCharType="begin"/>
                          </w:r>
                          <w:r>
                            <w:rPr>
                              <w:rFonts w:ascii="Arial" w:hAnsi="Arial" w:cs="Arial"/>
                              <w:b/>
                              <w:bCs/>
                            </w:rPr>
                            <w:instrText xml:space="preserve"> PAGE  \* MERGEFORMAT </w:instrText>
                          </w:r>
                          <w:r>
                            <w:rPr>
                              <w:rFonts w:ascii="Arial" w:hAnsi="Arial" w:cs="Arial"/>
                              <w:b/>
                              <w:bCs/>
                            </w:rPr>
                            <w:fldChar w:fldCharType="separate"/>
                          </w:r>
                          <w:r>
                            <w:rPr>
                              <w:rFonts w:ascii="Arial" w:hAnsi="Arial" w:cs="Arial"/>
                              <w:b/>
                              <w:bCs/>
                            </w:rPr>
                            <w:t>24</w:t>
                          </w:r>
                          <w:r>
                            <w:rPr>
                              <w:rFonts w:ascii="Arial" w:hAnsi="Arial" w:cs="Arial"/>
                              <w:b/>
                              <w:bC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3"/>
                    </w:pPr>
                    <w:r>
                      <w:rPr>
                        <w:rFonts w:ascii="Arial" w:hAnsi="Arial" w:cs="Arial"/>
                        <w:b/>
                        <w:bCs/>
                      </w:rPr>
                      <w:fldChar w:fldCharType="begin"/>
                    </w:r>
                    <w:r>
                      <w:rPr>
                        <w:rFonts w:ascii="Arial" w:hAnsi="Arial" w:cs="Arial"/>
                        <w:b/>
                        <w:bCs/>
                      </w:rPr>
                      <w:instrText xml:space="preserve"> PAGE  \* MERGEFORMAT </w:instrText>
                    </w:r>
                    <w:r>
                      <w:rPr>
                        <w:rFonts w:ascii="Arial" w:hAnsi="Arial" w:cs="Arial"/>
                        <w:b/>
                        <w:bCs/>
                      </w:rPr>
                      <w:fldChar w:fldCharType="separate"/>
                    </w:r>
                    <w:r>
                      <w:rPr>
                        <w:rFonts w:ascii="Arial" w:hAnsi="Arial" w:cs="Arial"/>
                        <w:b/>
                        <w:bCs/>
                      </w:rPr>
                      <w:t>24</w:t>
                    </w:r>
                    <w:r>
                      <w:rPr>
                        <w:rFonts w:ascii="Arial" w:hAnsi="Arial" w:cs="Arial"/>
                        <w:b/>
                        <w:bCs/>
                      </w:rPr>
                      <w:fldChar w:fldCharType="end"/>
                    </w:r>
                  </w:p>
                </w:txbxContent>
              </v:textbox>
            </v:shape>
          </w:pict>
        </mc:Fallback>
      </mc:AlternateContent>
    </w:r>
    <w:r>
      <w:rPr>
        <w:rFonts w:ascii="Arial" w:hAnsi="Arial" w:cs="Arial"/>
        <w:sz w:val="13"/>
        <w:szCs w:val="13"/>
      </w:rPr>
      <w:t>©202</w:t>
    </w:r>
    <w:r>
      <w:rPr>
        <w:rFonts w:hint="eastAsia" w:ascii="Arial" w:hAnsi="Arial" w:cs="Arial"/>
        <w:sz w:val="13"/>
        <w:szCs w:val="13"/>
        <w:lang w:val="en-US" w:eastAsia="zh-CN"/>
      </w:rPr>
      <w:t>0</w:t>
    </w:r>
    <w:r>
      <w:rPr>
        <w:rFonts w:ascii="Arial" w:hAnsi="Arial" w:cs="Arial"/>
        <w:sz w:val="13"/>
        <w:szCs w:val="13"/>
      </w:rPr>
      <w:t xml:space="preserve"> The Authors. </w:t>
    </w:r>
    <w:r>
      <w:rPr>
        <w:rFonts w:hint="eastAsia" w:ascii="Arial" w:hAnsi="Arial" w:eastAsia="Arial Unicode MS" w:cs="Arial"/>
        <w:sz w:val="13"/>
        <w:szCs w:val="13"/>
      </w:rPr>
      <w:t>Diagnostic Brain Medicine</w:t>
    </w:r>
    <w:r>
      <w:rPr>
        <w:rFonts w:ascii="Arial" w:hAnsi="Arial" w:cs="Arial"/>
        <w:sz w:val="13"/>
        <w:szCs w:val="13"/>
      </w:rPr>
      <w:t xml:space="preserve"> published by WIE-Biotech Co., Ltd</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jc w:val="left"/>
      <w:textAlignment w:val="auto"/>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ascii="Arial" w:hAnsi="Arial" w:cs="Arial"/>
                              <w:b/>
                              <w:bCs/>
                            </w:rPr>
                            <w:fldChar w:fldCharType="begin"/>
                          </w:r>
                          <w:r>
                            <w:rPr>
                              <w:rFonts w:ascii="Arial" w:hAnsi="Arial" w:cs="Arial"/>
                              <w:b/>
                              <w:bCs/>
                            </w:rPr>
                            <w:instrText xml:space="preserve"> PAGE  \* MERGEFORMAT </w:instrText>
                          </w:r>
                          <w:r>
                            <w:rPr>
                              <w:rFonts w:ascii="Arial" w:hAnsi="Arial" w:cs="Arial"/>
                              <w:b/>
                              <w:bCs/>
                            </w:rPr>
                            <w:fldChar w:fldCharType="separate"/>
                          </w:r>
                          <w:r>
                            <w:rPr>
                              <w:rFonts w:ascii="Arial" w:hAnsi="Arial" w:cs="Arial"/>
                              <w:b/>
                              <w:bCs/>
                            </w:rPr>
                            <w:t>24</w:t>
                          </w:r>
                          <w:r>
                            <w:rPr>
                              <w:rFonts w:ascii="Arial" w:hAnsi="Arial" w:cs="Arial"/>
                              <w:b/>
                              <w:bC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3"/>
                    </w:pPr>
                    <w:r>
                      <w:rPr>
                        <w:rFonts w:ascii="Arial" w:hAnsi="Arial" w:cs="Arial"/>
                        <w:b/>
                        <w:bCs/>
                      </w:rPr>
                      <w:fldChar w:fldCharType="begin"/>
                    </w:r>
                    <w:r>
                      <w:rPr>
                        <w:rFonts w:ascii="Arial" w:hAnsi="Arial" w:cs="Arial"/>
                        <w:b/>
                        <w:bCs/>
                      </w:rPr>
                      <w:instrText xml:space="preserve"> PAGE  \* MERGEFORMAT </w:instrText>
                    </w:r>
                    <w:r>
                      <w:rPr>
                        <w:rFonts w:ascii="Arial" w:hAnsi="Arial" w:cs="Arial"/>
                        <w:b/>
                        <w:bCs/>
                      </w:rPr>
                      <w:fldChar w:fldCharType="separate"/>
                    </w:r>
                    <w:r>
                      <w:rPr>
                        <w:rFonts w:ascii="Arial" w:hAnsi="Arial" w:cs="Arial"/>
                        <w:b/>
                        <w:bCs/>
                      </w:rPr>
                      <w:t>24</w:t>
                    </w:r>
                    <w:r>
                      <w:rPr>
                        <w:rFonts w:ascii="Arial" w:hAnsi="Arial" w:cs="Arial"/>
                        <w:b/>
                        <w:bCs/>
                      </w:rPr>
                      <w:fldChar w:fldCharType="end"/>
                    </w:r>
                  </w:p>
                </w:txbxContent>
              </v:textbox>
            </v:shape>
          </w:pict>
        </mc:Fallback>
      </mc:AlternateContent>
    </w:r>
    <w:r>
      <w:rPr>
        <w:rFonts w:ascii="Arial" w:hAnsi="Arial" w:cs="Arial"/>
        <w:sz w:val="13"/>
        <w:szCs w:val="13"/>
      </w:rPr>
      <w:t>©202</w:t>
    </w:r>
    <w:r>
      <w:rPr>
        <w:rFonts w:hint="eastAsia" w:ascii="Arial" w:hAnsi="Arial" w:cs="Arial"/>
        <w:sz w:val="13"/>
        <w:szCs w:val="13"/>
        <w:lang w:val="en-US" w:eastAsia="zh-CN"/>
      </w:rPr>
      <w:t>0</w:t>
    </w:r>
    <w:r>
      <w:rPr>
        <w:rFonts w:ascii="Arial" w:hAnsi="Arial" w:cs="Arial"/>
        <w:sz w:val="13"/>
        <w:szCs w:val="13"/>
      </w:rPr>
      <w:t xml:space="preserve"> The Authors. </w:t>
    </w:r>
    <w:r>
      <w:rPr>
        <w:rFonts w:hint="eastAsia" w:ascii="Arial" w:hAnsi="Arial" w:eastAsia="Arial Unicode MS" w:cs="Arial"/>
        <w:sz w:val="13"/>
        <w:szCs w:val="13"/>
      </w:rPr>
      <w:t>Diagnostic Brain Medicine</w:t>
    </w:r>
    <w:r>
      <w:rPr>
        <w:rFonts w:ascii="Arial" w:hAnsi="Arial" w:cs="Arial"/>
        <w:sz w:val="13"/>
        <w:szCs w:val="13"/>
      </w:rPr>
      <w:t xml:space="preserve"> published by WIE-Biotech Co., Ltd</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jc w:val="right"/>
      <w:textAlignment w:val="auto"/>
    </w:pPr>
    <w: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ascii="Arial" w:hAnsi="Arial" w:cs="Arial"/>
                              <w:b/>
                              <w:bCs/>
                            </w:rPr>
                            <w:fldChar w:fldCharType="begin"/>
                          </w:r>
                          <w:r>
                            <w:rPr>
                              <w:rFonts w:ascii="Arial" w:hAnsi="Arial" w:cs="Arial"/>
                              <w:b/>
                              <w:bCs/>
                            </w:rPr>
                            <w:instrText xml:space="preserve"> PAGE  \* MERGEFORMAT </w:instrText>
                          </w:r>
                          <w:r>
                            <w:rPr>
                              <w:rFonts w:ascii="Arial" w:hAnsi="Arial" w:cs="Arial"/>
                              <w:b/>
                              <w:bCs/>
                            </w:rPr>
                            <w:fldChar w:fldCharType="separate"/>
                          </w:r>
                          <w:r>
                            <w:rPr>
                              <w:rFonts w:ascii="Arial" w:hAnsi="Arial" w:cs="Arial"/>
                              <w:b/>
                              <w:bCs/>
                            </w:rPr>
                            <w:t>24</w:t>
                          </w:r>
                          <w:r>
                            <w:rPr>
                              <w:rFonts w:ascii="Arial" w:hAnsi="Arial" w:cs="Arial"/>
                              <w:b/>
                              <w:bC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ascii="Arial" w:hAnsi="Arial" w:cs="Arial"/>
                        <w:b/>
                        <w:bCs/>
                      </w:rPr>
                      <w:fldChar w:fldCharType="begin"/>
                    </w:r>
                    <w:r>
                      <w:rPr>
                        <w:rFonts w:ascii="Arial" w:hAnsi="Arial" w:cs="Arial"/>
                        <w:b/>
                        <w:bCs/>
                      </w:rPr>
                      <w:instrText xml:space="preserve"> PAGE  \* MERGEFORMAT </w:instrText>
                    </w:r>
                    <w:r>
                      <w:rPr>
                        <w:rFonts w:ascii="Arial" w:hAnsi="Arial" w:cs="Arial"/>
                        <w:b/>
                        <w:bCs/>
                      </w:rPr>
                      <w:fldChar w:fldCharType="separate"/>
                    </w:r>
                    <w:r>
                      <w:rPr>
                        <w:rFonts w:ascii="Arial" w:hAnsi="Arial" w:cs="Arial"/>
                        <w:b/>
                        <w:bCs/>
                      </w:rPr>
                      <w:t>24</w:t>
                    </w:r>
                    <w:r>
                      <w:rPr>
                        <w:rFonts w:ascii="Arial" w:hAnsi="Arial" w:cs="Arial"/>
                        <w:b/>
                        <w:bCs/>
                      </w:rPr>
                      <w:fldChar w:fldCharType="end"/>
                    </w:r>
                  </w:p>
                </w:txbxContent>
              </v:textbox>
            </v:shape>
          </w:pict>
        </mc:Fallback>
      </mc:AlternateContent>
    </w:r>
    <w:r>
      <w:rPr>
        <w:rFonts w:ascii="Arial" w:hAnsi="Arial" w:cs="Arial"/>
        <w:sz w:val="13"/>
        <w:szCs w:val="13"/>
      </w:rPr>
      <w:t>©202</w:t>
    </w:r>
    <w:r>
      <w:rPr>
        <w:rFonts w:hint="eastAsia" w:ascii="Arial" w:hAnsi="Arial" w:cs="Arial"/>
        <w:sz w:val="13"/>
        <w:szCs w:val="13"/>
        <w:lang w:val="en-US" w:eastAsia="zh-CN"/>
      </w:rPr>
      <w:t>0</w:t>
    </w:r>
    <w:r>
      <w:rPr>
        <w:rFonts w:ascii="Arial" w:hAnsi="Arial" w:cs="Arial"/>
        <w:sz w:val="13"/>
        <w:szCs w:val="13"/>
      </w:rPr>
      <w:t xml:space="preserve"> The Authors. </w:t>
    </w:r>
    <w:r>
      <w:rPr>
        <w:rFonts w:hint="eastAsia" w:ascii="Arial" w:hAnsi="Arial" w:eastAsia="Arial Unicode MS" w:cs="Arial"/>
        <w:sz w:val="13"/>
        <w:szCs w:val="13"/>
      </w:rPr>
      <w:t>Diagnostic Brain Medicine</w:t>
    </w:r>
    <w:r>
      <w:rPr>
        <w:rFonts w:ascii="Arial" w:hAnsi="Arial" w:cs="Arial"/>
        <w:sz w:val="13"/>
        <w:szCs w:val="13"/>
      </w:rPr>
      <w:t xml:space="preserve"> published by WIE-Biotech Co., Ltd</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pPr>
    <w:r>
      <w:rPr>
        <w:rFonts w:hint="eastAsia" w:ascii="Arial" w:hAnsi="Arial" w:cs="Arial"/>
        <w:sz w:val="16"/>
        <w:szCs w:val="16"/>
        <w:lang w:val="en-US" w:eastAsia="zh-CN"/>
      </w:rPr>
      <w:t xml:space="preserve">Yuting Lu </w:t>
    </w:r>
    <w:r>
      <w:rPr>
        <w:rFonts w:ascii="Arial" w:hAnsi="Arial" w:cs="Arial"/>
        <w:sz w:val="16"/>
        <w:szCs w:val="16"/>
      </w:rPr>
      <w:t>et al.</w:t>
    </w:r>
    <w:r>
      <w:rPr>
        <w:rFonts w:ascii="Arial" w:hAnsi="Arial" w:cs="Arial"/>
        <w:sz w:val="16"/>
        <w:szCs w:val="16"/>
      </w:rPr>
      <w:ptab w:relativeTo="margin" w:alignment="center" w:leader="none"/>
    </w:r>
    <w:r>
      <w:rPr>
        <w:rFonts w:ascii="Arial" w:hAnsi="Arial" w:cs="Arial"/>
        <w:sz w:val="16"/>
        <w:szCs w:val="16"/>
      </w:rPr>
      <w:t xml:space="preserve">            </w:t>
    </w:r>
    <w:r>
      <w:rPr>
        <w:rFonts w:hint="eastAsia" w:ascii="Arial" w:hAnsi="Arial" w:cs="Arial"/>
        <w:sz w:val="16"/>
        <w:szCs w:val="16"/>
        <w:lang w:val="en-US" w:eastAsia="zh-CN"/>
      </w:rPr>
      <w:t xml:space="preserve">       </w:t>
    </w:r>
    <w:r>
      <w:rPr>
        <w:rFonts w:hint="eastAsia" w:ascii="Arial" w:hAnsi="Arial" w:cs="Arial"/>
        <w:sz w:val="16"/>
        <w:szCs w:val="16"/>
      </w:rPr>
      <w:t xml:space="preserve"> </w:t>
    </w:r>
    <w:r>
      <w:rPr>
        <w:rFonts w:hint="eastAsia" w:ascii="Arial" w:hAnsi="Arial" w:cs="Arial"/>
        <w:sz w:val="16"/>
        <w:szCs w:val="16"/>
        <w:lang w:val="en-US" w:eastAsia="zh-CN"/>
      </w:rPr>
      <w:t xml:space="preserve">                       </w:t>
    </w:r>
    <w:r>
      <w:rPr>
        <w:rFonts w:hint="eastAsia" w:ascii="Arial" w:hAnsi="Arial" w:cs="Arial"/>
        <w:b w:val="0"/>
        <w:bCs w:val="0"/>
        <w:sz w:val="16"/>
        <w:szCs w:val="16"/>
      </w:rPr>
      <w:t xml:space="preserve">Exploration of </w:t>
    </w:r>
    <w:r>
      <w:rPr>
        <w:rFonts w:hint="eastAsia" w:ascii="Arial" w:hAnsi="Arial" w:cs="Arial"/>
        <w:b w:val="0"/>
        <w:bCs w:val="0"/>
        <w:sz w:val="16"/>
        <w:szCs w:val="16"/>
        <w:lang w:val="en-US" w:eastAsia="zh-CN"/>
      </w:rPr>
      <w:t>C</w:t>
    </w:r>
    <w:r>
      <w:rPr>
        <w:rFonts w:hint="eastAsia" w:ascii="Arial" w:hAnsi="Arial" w:cs="Arial"/>
        <w:b w:val="0"/>
        <w:bCs w:val="0"/>
        <w:sz w:val="16"/>
        <w:szCs w:val="16"/>
      </w:rPr>
      <w:t xml:space="preserve">erebral </w:t>
    </w:r>
    <w:r>
      <w:rPr>
        <w:rFonts w:hint="eastAsia" w:ascii="Arial" w:hAnsi="Arial" w:cs="Arial"/>
        <w:b w:val="0"/>
        <w:bCs w:val="0"/>
        <w:sz w:val="16"/>
        <w:szCs w:val="16"/>
        <w:lang w:val="en-US" w:eastAsia="zh-CN"/>
      </w:rPr>
      <w:t>I</w:t>
    </w:r>
    <w:r>
      <w:rPr>
        <w:rFonts w:hint="eastAsia" w:ascii="Arial" w:hAnsi="Arial" w:cs="Arial"/>
        <w:b w:val="0"/>
        <w:bCs w:val="0"/>
        <w:sz w:val="16"/>
        <w:szCs w:val="16"/>
      </w:rPr>
      <w:t xml:space="preserve">nfarction </w:t>
    </w:r>
    <w:r>
      <w:rPr>
        <w:rFonts w:hint="eastAsia" w:ascii="Arial" w:hAnsi="Arial" w:cs="Arial"/>
        <w:b w:val="0"/>
        <w:bCs w:val="0"/>
        <w:sz w:val="16"/>
        <w:szCs w:val="16"/>
        <w:lang w:val="en-US" w:eastAsia="zh-CN"/>
      </w:rPr>
      <w:t>P</w:t>
    </w:r>
    <w:r>
      <w:rPr>
        <w:rFonts w:hint="eastAsia" w:ascii="Arial" w:hAnsi="Arial" w:cs="Arial"/>
        <w:b w:val="0"/>
        <w:bCs w:val="0"/>
        <w:sz w:val="16"/>
        <w:szCs w:val="16"/>
      </w:rPr>
      <w:t xml:space="preserve">atients' </w:t>
    </w:r>
    <w:r>
      <w:rPr>
        <w:rFonts w:hint="eastAsia" w:ascii="Arial" w:hAnsi="Arial" w:cs="Arial"/>
        <w:b w:val="0"/>
        <w:bCs w:val="0"/>
        <w:sz w:val="16"/>
        <w:szCs w:val="16"/>
        <w:lang w:val="en-US" w:eastAsia="zh-CN"/>
      </w:rPr>
      <w:t>T</w:t>
    </w:r>
    <w:r>
      <w:rPr>
        <w:rFonts w:hint="eastAsia" w:ascii="Arial" w:hAnsi="Arial" w:cs="Arial"/>
        <w:b w:val="0"/>
        <w:bCs w:val="0"/>
        <w:sz w:val="16"/>
        <w:szCs w:val="16"/>
      </w:rPr>
      <w:t>reatment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rFonts w:ascii="Arial" w:hAnsi="Arial" w:cs="Arial"/>
        <w:sz w:val="16"/>
        <w:szCs w:val="16"/>
      </w:rPr>
      <w:t>Shengjun Chen et al.</w:t>
    </w:r>
    <w:r>
      <w:rPr>
        <w:rFonts w:ascii="Arial" w:hAnsi="Arial" w:cs="Arial"/>
        <w:sz w:val="16"/>
        <w:szCs w:val="16"/>
      </w:rPr>
      <w:ptab w:relativeTo="margin" w:alignment="center" w:leader="none"/>
    </w:r>
    <w:r>
      <w:rPr>
        <w:rFonts w:ascii="Arial" w:hAnsi="Arial" w:cs="Arial"/>
        <w:sz w:val="16"/>
        <w:szCs w:val="16"/>
      </w:rPr>
      <w:t xml:space="preserve">            </w:t>
    </w:r>
    <w:r>
      <w:rPr>
        <w:rFonts w:hint="eastAsia" w:ascii="Arial" w:hAnsi="Arial" w:cs="Arial"/>
        <w:sz w:val="16"/>
        <w:szCs w:val="16"/>
      </w:rPr>
      <w:t xml:space="preserve"> </w:t>
    </w:r>
    <w:r>
      <w:rPr>
        <w:rFonts w:ascii="Arial" w:hAnsi="Arial" w:cs="Arial"/>
        <w:sz w:val="16"/>
        <w:szCs w:val="16"/>
      </w:rPr>
      <w:t xml:space="preserve"> </w:t>
    </w:r>
    <w:r>
      <w:rPr>
        <w:rFonts w:hint="eastAsia" w:ascii="Arial" w:hAnsi="Arial" w:cs="Arial"/>
        <w:sz w:val="16"/>
        <w:szCs w:val="16"/>
      </w:rPr>
      <w:t>Correlation Analysis of Clinical Indexes in T2DM Patients with Cerebral Infarction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threeDEmboss" w:color="0584A7" w:sz="18" w:space="1"/>
      </w:pBdr>
      <w:jc w:val="left"/>
      <w:rPr>
        <w:rFonts w:ascii="Arial" w:hAnsi="Arial" w:eastAsia="Arial Unicode MS" w:cs="Arial"/>
        <w:b/>
        <w:i/>
        <w:color w:val="3E6593"/>
        <w:sz w:val="32"/>
        <w:szCs w:val="32"/>
      </w:rPr>
    </w:pPr>
    <w:r>
      <w:rPr>
        <w:rFonts w:ascii="Arial" w:hAnsi="Arial" w:eastAsia="Arial Unicode MS" w:cs="Arial"/>
        <w:b/>
        <w:i/>
        <w:color w:val="3E6593"/>
        <w:sz w:val="32"/>
        <w:szCs w:val="32"/>
      </w:rPr>
      <w:t xml:space="preserve">Diagnostic </w:t>
    </w:r>
    <w:r>
      <w:rPr>
        <w:rFonts w:hint="eastAsia" w:ascii="Arial" w:hAnsi="Arial" w:eastAsia="Arial Unicode MS" w:cs="Arial"/>
        <w:b/>
        <w:i/>
        <w:color w:val="3E6593"/>
        <w:sz w:val="32"/>
        <w:szCs w:val="32"/>
      </w:rPr>
      <w:t>B</w:t>
    </w:r>
    <w:r>
      <w:rPr>
        <w:rFonts w:ascii="Arial" w:hAnsi="Arial" w:eastAsia="Arial Unicode MS" w:cs="Arial"/>
        <w:b/>
        <w:i/>
        <w:color w:val="3E6593"/>
        <w:sz w:val="32"/>
        <w:szCs w:val="32"/>
      </w:rPr>
      <w:t xml:space="preserve">rain </w:t>
    </w:r>
    <w:r>
      <w:rPr>
        <w:rFonts w:hint="eastAsia" w:ascii="Arial" w:hAnsi="Arial" w:eastAsia="Arial Unicode MS" w:cs="Arial"/>
        <w:b/>
        <w:i/>
        <w:color w:val="3E6593"/>
        <w:sz w:val="32"/>
        <w:szCs w:val="32"/>
      </w:rPr>
      <w:t>M</w:t>
    </w:r>
    <w:r>
      <w:rPr>
        <w:rFonts w:ascii="Arial" w:hAnsi="Arial" w:eastAsia="Arial Unicode MS" w:cs="Arial"/>
        <w:b/>
        <w:i/>
        <w:color w:val="3E6593"/>
        <w:sz w:val="32"/>
        <w:szCs w:val="32"/>
      </w:rPr>
      <w:t>edicine</w:t>
    </w:r>
  </w:p>
  <w:p>
    <w:pPr>
      <w:pBdr>
        <w:bottom w:val="threeDEmboss" w:color="0584A7" w:sz="18" w:space="1"/>
      </w:pBdr>
      <w:jc w:val="left"/>
      <w:rPr>
        <w:rFonts w:ascii="Arial" w:hAnsi="Arial" w:eastAsia="Arial Unicode MS" w:cs="Arial"/>
        <w:b/>
        <w:i/>
        <w:color w:val="3E6593"/>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rPr>
        <w:rFonts w:hint="eastAsia" w:ascii="Arial" w:hAnsi="Arial" w:cs="Arial"/>
        <w:sz w:val="16"/>
        <w:szCs w:val="16"/>
      </w:rPr>
    </w:pPr>
    <w:r>
      <w:rPr>
        <w:rFonts w:hint="eastAsia" w:ascii="Arial" w:hAnsi="Arial" w:cs="Arial"/>
        <w:sz w:val="16"/>
        <w:szCs w:val="16"/>
        <w:lang w:val="en-US" w:eastAsia="zh-CN"/>
      </w:rPr>
      <w:t xml:space="preserve">Yuting Lu </w:t>
    </w:r>
    <w:r>
      <w:rPr>
        <w:rFonts w:ascii="Arial" w:hAnsi="Arial" w:cs="Arial"/>
        <w:sz w:val="16"/>
        <w:szCs w:val="16"/>
      </w:rPr>
      <w:t>et al.</w:t>
    </w:r>
    <w:r>
      <w:rPr>
        <w:rFonts w:ascii="Arial" w:hAnsi="Arial" w:cs="Arial"/>
        <w:sz w:val="16"/>
        <w:szCs w:val="16"/>
      </w:rPr>
      <w:ptab w:relativeTo="margin" w:alignment="center" w:leader="none"/>
    </w:r>
    <w:r>
      <w:rPr>
        <w:rFonts w:ascii="Arial" w:hAnsi="Arial" w:cs="Arial"/>
        <w:sz w:val="16"/>
        <w:szCs w:val="16"/>
      </w:rPr>
      <w:t xml:space="preserve">            </w:t>
    </w:r>
    <w:r>
      <w:rPr>
        <w:rFonts w:hint="eastAsia" w:ascii="Arial" w:hAnsi="Arial" w:cs="Arial"/>
        <w:sz w:val="16"/>
        <w:szCs w:val="16"/>
        <w:lang w:val="en-US" w:eastAsia="zh-CN"/>
      </w:rPr>
      <w:t xml:space="preserve">       </w:t>
    </w:r>
    <w:r>
      <w:rPr>
        <w:rFonts w:hint="eastAsia" w:ascii="Arial" w:hAnsi="Arial" w:cs="Arial"/>
        <w:sz w:val="16"/>
        <w:szCs w:val="16"/>
      </w:rPr>
      <w:t xml:space="preserve"> </w:t>
    </w:r>
    <w:r>
      <w:rPr>
        <w:rFonts w:hint="eastAsia" w:ascii="Arial" w:hAnsi="Arial" w:cs="Arial"/>
        <w:sz w:val="16"/>
        <w:szCs w:val="16"/>
        <w:lang w:val="en-US" w:eastAsia="zh-CN"/>
      </w:rPr>
      <w:t xml:space="preserve">                       </w:t>
    </w:r>
    <w:r>
      <w:rPr>
        <w:rFonts w:hint="eastAsia" w:ascii="Arial" w:hAnsi="Arial" w:cs="Arial"/>
        <w:b w:val="0"/>
        <w:bCs w:val="0"/>
        <w:sz w:val="16"/>
        <w:szCs w:val="16"/>
      </w:rPr>
      <w:t xml:space="preserve">Exploration of </w:t>
    </w:r>
    <w:r>
      <w:rPr>
        <w:rFonts w:hint="eastAsia" w:ascii="Arial" w:hAnsi="Arial" w:cs="Arial"/>
        <w:b w:val="0"/>
        <w:bCs w:val="0"/>
        <w:sz w:val="16"/>
        <w:szCs w:val="16"/>
        <w:lang w:val="en-US" w:eastAsia="zh-CN"/>
      </w:rPr>
      <w:t>C</w:t>
    </w:r>
    <w:r>
      <w:rPr>
        <w:rFonts w:hint="eastAsia" w:ascii="Arial" w:hAnsi="Arial" w:cs="Arial"/>
        <w:b w:val="0"/>
        <w:bCs w:val="0"/>
        <w:sz w:val="16"/>
        <w:szCs w:val="16"/>
      </w:rPr>
      <w:t xml:space="preserve">erebral </w:t>
    </w:r>
    <w:r>
      <w:rPr>
        <w:rFonts w:hint="eastAsia" w:ascii="Arial" w:hAnsi="Arial" w:cs="Arial"/>
        <w:b w:val="0"/>
        <w:bCs w:val="0"/>
        <w:sz w:val="16"/>
        <w:szCs w:val="16"/>
        <w:lang w:val="en-US" w:eastAsia="zh-CN"/>
      </w:rPr>
      <w:t>I</w:t>
    </w:r>
    <w:r>
      <w:rPr>
        <w:rFonts w:hint="eastAsia" w:ascii="Arial" w:hAnsi="Arial" w:cs="Arial"/>
        <w:b w:val="0"/>
        <w:bCs w:val="0"/>
        <w:sz w:val="16"/>
        <w:szCs w:val="16"/>
      </w:rPr>
      <w:t xml:space="preserve">nfarction </w:t>
    </w:r>
    <w:r>
      <w:rPr>
        <w:rFonts w:hint="eastAsia" w:ascii="Arial" w:hAnsi="Arial" w:cs="Arial"/>
        <w:b w:val="0"/>
        <w:bCs w:val="0"/>
        <w:sz w:val="16"/>
        <w:szCs w:val="16"/>
        <w:lang w:val="en-US" w:eastAsia="zh-CN"/>
      </w:rPr>
      <w:t>P</w:t>
    </w:r>
    <w:r>
      <w:rPr>
        <w:rFonts w:hint="eastAsia" w:ascii="Arial" w:hAnsi="Arial" w:cs="Arial"/>
        <w:b w:val="0"/>
        <w:bCs w:val="0"/>
        <w:sz w:val="16"/>
        <w:szCs w:val="16"/>
      </w:rPr>
      <w:t xml:space="preserve">atients' </w:t>
    </w:r>
    <w:r>
      <w:rPr>
        <w:rFonts w:hint="eastAsia" w:ascii="Arial" w:hAnsi="Arial" w:cs="Arial"/>
        <w:b w:val="0"/>
        <w:bCs w:val="0"/>
        <w:sz w:val="16"/>
        <w:szCs w:val="16"/>
        <w:lang w:val="en-US" w:eastAsia="zh-CN"/>
      </w:rPr>
      <w:t>T</w:t>
    </w:r>
    <w:r>
      <w:rPr>
        <w:rFonts w:hint="eastAsia" w:ascii="Arial" w:hAnsi="Arial" w:cs="Arial"/>
        <w:b w:val="0"/>
        <w:bCs w:val="0"/>
        <w:sz w:val="16"/>
        <w:szCs w:val="16"/>
      </w:rPr>
      <w:t>reatment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jc w:val="left"/>
    </w:pPr>
    <w:r>
      <w:rPr>
        <w:rFonts w:hint="eastAsia" w:ascii="Arial" w:hAnsi="Arial" w:cs="Arial"/>
        <w:sz w:val="16"/>
        <w:szCs w:val="16"/>
        <w:lang w:val="en-US" w:eastAsia="zh-CN"/>
      </w:rPr>
      <w:t xml:space="preserve">Gang Yang </w:t>
    </w:r>
    <w:r>
      <w:rPr>
        <w:rFonts w:ascii="Arial" w:hAnsi="Arial" w:cs="Arial"/>
        <w:sz w:val="16"/>
        <w:szCs w:val="16"/>
      </w:rPr>
      <w:t>et al.</w:t>
    </w:r>
    <w:r>
      <w:rPr>
        <w:rFonts w:ascii="Arial" w:hAnsi="Arial" w:cs="Arial"/>
        <w:sz w:val="16"/>
        <w:szCs w:val="16"/>
      </w:rPr>
      <w:ptab w:relativeTo="margin" w:alignment="center" w:leader="none"/>
    </w:r>
    <w:r>
      <w:rPr>
        <w:rFonts w:ascii="Arial" w:hAnsi="Arial" w:cs="Arial"/>
        <w:sz w:val="16"/>
        <w:szCs w:val="16"/>
      </w:rPr>
      <w:t xml:space="preserve">            </w:t>
    </w:r>
    <w:r>
      <w:rPr>
        <w:rFonts w:hint="eastAsia" w:ascii="Arial" w:hAnsi="Arial" w:cs="Arial"/>
        <w:sz w:val="16"/>
        <w:szCs w:val="16"/>
      </w:rPr>
      <w:t xml:space="preserve"> </w:t>
    </w:r>
    <w:r>
      <w:rPr>
        <w:rFonts w:ascii="Arial" w:hAnsi="Arial" w:cs="Arial"/>
        <w:sz w:val="16"/>
        <w:szCs w:val="16"/>
      </w:rPr>
      <w:t xml:space="preserve"> </w:t>
    </w:r>
    <w:r>
      <w:rPr>
        <w:rFonts w:hint="eastAsia" w:ascii="Arial" w:hAnsi="Arial" w:cs="Arial"/>
        <w:sz w:val="16"/>
        <w:szCs w:val="16"/>
        <w:lang w:val="en-US" w:eastAsia="zh-CN"/>
      </w:rPr>
      <w:t xml:space="preserve">                       </w:t>
    </w:r>
    <w:r>
      <w:rPr>
        <w:rFonts w:hint="eastAsia" w:ascii="Arial" w:hAnsi="Arial" w:cs="Arial"/>
        <w:sz w:val="16"/>
        <w:szCs w:val="16"/>
      </w:rPr>
      <w:t xml:space="preserve">The Role of </w:t>
    </w:r>
    <w:r>
      <w:rPr>
        <w:rFonts w:hint="eastAsia" w:ascii="Arial" w:hAnsi="Arial" w:cs="Arial"/>
        <w:sz w:val="16"/>
        <w:szCs w:val="16"/>
        <w:lang w:val="en-US" w:eastAsia="zh-CN"/>
      </w:rPr>
      <w:t xml:space="preserve"> </w:t>
    </w:r>
    <w:r>
      <w:rPr>
        <w:rFonts w:hint="eastAsia" w:ascii="Arial" w:hAnsi="Arial" w:cs="Arial"/>
        <w:sz w:val="16"/>
        <w:szCs w:val="16"/>
      </w:rPr>
      <w:t>Neuroendoscopic Removal of</w:t>
    </w:r>
    <w:r>
      <w:rPr>
        <w:rFonts w:hint="eastAsia" w:ascii="Arial" w:hAnsi="Arial" w:cs="Arial"/>
        <w:sz w:val="16"/>
        <w:szCs w:val="16"/>
        <w:lang w:val="en-US" w:eastAsia="zh-CN"/>
      </w:rPr>
      <w:t xml:space="preserve"> </w:t>
    </w:r>
    <w:r>
      <w:rPr>
        <w:rFonts w:hint="eastAsia" w:ascii="Arial" w:hAnsi="Arial" w:cs="Arial"/>
        <w:sz w:val="16"/>
        <w:szCs w:val="16"/>
      </w:rPr>
      <w:t xml:space="preserve"> Hematomas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kNDFmNTA5ZDk2OGU0NjQxMjQ0YzdlM2FkMzdjM2YifQ=="/>
  </w:docVars>
  <w:rsids>
    <w:rsidRoot w:val="00844B12"/>
    <w:rsid w:val="0000035E"/>
    <w:rsid w:val="00023330"/>
    <w:rsid w:val="00034B94"/>
    <w:rsid w:val="000445C3"/>
    <w:rsid w:val="000452A1"/>
    <w:rsid w:val="000532FD"/>
    <w:rsid w:val="000670F6"/>
    <w:rsid w:val="0008035F"/>
    <w:rsid w:val="000A6F5D"/>
    <w:rsid w:val="001315AC"/>
    <w:rsid w:val="00172ECF"/>
    <w:rsid w:val="001908BB"/>
    <w:rsid w:val="0019734D"/>
    <w:rsid w:val="001C6B5B"/>
    <w:rsid w:val="001E7220"/>
    <w:rsid w:val="001F56A1"/>
    <w:rsid w:val="00246F83"/>
    <w:rsid w:val="00255A3E"/>
    <w:rsid w:val="00273936"/>
    <w:rsid w:val="0027662C"/>
    <w:rsid w:val="00281930"/>
    <w:rsid w:val="0029492D"/>
    <w:rsid w:val="002A2579"/>
    <w:rsid w:val="002A26C8"/>
    <w:rsid w:val="002B2AE9"/>
    <w:rsid w:val="002D5DC9"/>
    <w:rsid w:val="00300ACD"/>
    <w:rsid w:val="00301045"/>
    <w:rsid w:val="00312530"/>
    <w:rsid w:val="00324BE3"/>
    <w:rsid w:val="0033414D"/>
    <w:rsid w:val="00343A57"/>
    <w:rsid w:val="0035059E"/>
    <w:rsid w:val="00357F73"/>
    <w:rsid w:val="00366B3C"/>
    <w:rsid w:val="003721CD"/>
    <w:rsid w:val="00372485"/>
    <w:rsid w:val="00373217"/>
    <w:rsid w:val="00380EEB"/>
    <w:rsid w:val="00382D63"/>
    <w:rsid w:val="003962AA"/>
    <w:rsid w:val="003A3B97"/>
    <w:rsid w:val="003B2C65"/>
    <w:rsid w:val="003B4D81"/>
    <w:rsid w:val="003C0DBD"/>
    <w:rsid w:val="003D08E0"/>
    <w:rsid w:val="003E2801"/>
    <w:rsid w:val="00407D23"/>
    <w:rsid w:val="00424962"/>
    <w:rsid w:val="004331F6"/>
    <w:rsid w:val="00437449"/>
    <w:rsid w:val="00456622"/>
    <w:rsid w:val="00464E25"/>
    <w:rsid w:val="0046686E"/>
    <w:rsid w:val="00471CCF"/>
    <w:rsid w:val="00482B61"/>
    <w:rsid w:val="004B3B16"/>
    <w:rsid w:val="004F51D5"/>
    <w:rsid w:val="004F7932"/>
    <w:rsid w:val="00503357"/>
    <w:rsid w:val="005272C0"/>
    <w:rsid w:val="0058437E"/>
    <w:rsid w:val="00584C27"/>
    <w:rsid w:val="005A7423"/>
    <w:rsid w:val="005B370C"/>
    <w:rsid w:val="005E40EC"/>
    <w:rsid w:val="00600E63"/>
    <w:rsid w:val="00604655"/>
    <w:rsid w:val="00624DAD"/>
    <w:rsid w:val="006406A3"/>
    <w:rsid w:val="00640C96"/>
    <w:rsid w:val="006550D8"/>
    <w:rsid w:val="006A733C"/>
    <w:rsid w:val="006A7E12"/>
    <w:rsid w:val="006B554C"/>
    <w:rsid w:val="006C4898"/>
    <w:rsid w:val="006D6F02"/>
    <w:rsid w:val="006E3CD0"/>
    <w:rsid w:val="006F6FBB"/>
    <w:rsid w:val="00700E89"/>
    <w:rsid w:val="00702EB9"/>
    <w:rsid w:val="00703F7D"/>
    <w:rsid w:val="00720591"/>
    <w:rsid w:val="00740968"/>
    <w:rsid w:val="0075274B"/>
    <w:rsid w:val="0075773D"/>
    <w:rsid w:val="00777876"/>
    <w:rsid w:val="00793034"/>
    <w:rsid w:val="007A5F53"/>
    <w:rsid w:val="007B7771"/>
    <w:rsid w:val="007C5DEF"/>
    <w:rsid w:val="007D2B6D"/>
    <w:rsid w:val="007E1B1A"/>
    <w:rsid w:val="0080174B"/>
    <w:rsid w:val="00804FC1"/>
    <w:rsid w:val="00844B12"/>
    <w:rsid w:val="0085261A"/>
    <w:rsid w:val="0087091B"/>
    <w:rsid w:val="008853CA"/>
    <w:rsid w:val="00886105"/>
    <w:rsid w:val="00886F28"/>
    <w:rsid w:val="008961C6"/>
    <w:rsid w:val="008A2600"/>
    <w:rsid w:val="008A5AF8"/>
    <w:rsid w:val="008B3750"/>
    <w:rsid w:val="008B7B21"/>
    <w:rsid w:val="008D36F5"/>
    <w:rsid w:val="008D68D6"/>
    <w:rsid w:val="008D6CBD"/>
    <w:rsid w:val="008F211B"/>
    <w:rsid w:val="008F6EB2"/>
    <w:rsid w:val="00902829"/>
    <w:rsid w:val="00915E27"/>
    <w:rsid w:val="00926856"/>
    <w:rsid w:val="00930ACD"/>
    <w:rsid w:val="00933DD2"/>
    <w:rsid w:val="00937E13"/>
    <w:rsid w:val="0097068A"/>
    <w:rsid w:val="00980ECC"/>
    <w:rsid w:val="009A5B0F"/>
    <w:rsid w:val="009B63CE"/>
    <w:rsid w:val="009C25E8"/>
    <w:rsid w:val="009D1A09"/>
    <w:rsid w:val="00A239A9"/>
    <w:rsid w:val="00A2415C"/>
    <w:rsid w:val="00A659F9"/>
    <w:rsid w:val="00A70FC4"/>
    <w:rsid w:val="00A74317"/>
    <w:rsid w:val="00A84011"/>
    <w:rsid w:val="00AC28E5"/>
    <w:rsid w:val="00AC6313"/>
    <w:rsid w:val="00AD0002"/>
    <w:rsid w:val="00AF7AD0"/>
    <w:rsid w:val="00B03971"/>
    <w:rsid w:val="00B246A1"/>
    <w:rsid w:val="00B413BE"/>
    <w:rsid w:val="00B47A98"/>
    <w:rsid w:val="00B551EC"/>
    <w:rsid w:val="00B55C5D"/>
    <w:rsid w:val="00B57A1C"/>
    <w:rsid w:val="00B866BF"/>
    <w:rsid w:val="00B86CAD"/>
    <w:rsid w:val="00B92960"/>
    <w:rsid w:val="00B951BD"/>
    <w:rsid w:val="00B9601B"/>
    <w:rsid w:val="00BB1E33"/>
    <w:rsid w:val="00BB736C"/>
    <w:rsid w:val="00BD3021"/>
    <w:rsid w:val="00BD3445"/>
    <w:rsid w:val="00BD731D"/>
    <w:rsid w:val="00BE2E4A"/>
    <w:rsid w:val="00BE3D3C"/>
    <w:rsid w:val="00BE4F1B"/>
    <w:rsid w:val="00BE54C7"/>
    <w:rsid w:val="00C02414"/>
    <w:rsid w:val="00C62BCB"/>
    <w:rsid w:val="00C63417"/>
    <w:rsid w:val="00C96749"/>
    <w:rsid w:val="00CD4907"/>
    <w:rsid w:val="00CD7A14"/>
    <w:rsid w:val="00CE1C4A"/>
    <w:rsid w:val="00CF31C3"/>
    <w:rsid w:val="00CF45A0"/>
    <w:rsid w:val="00D170C1"/>
    <w:rsid w:val="00D329CE"/>
    <w:rsid w:val="00D348F0"/>
    <w:rsid w:val="00D34CE9"/>
    <w:rsid w:val="00D4722E"/>
    <w:rsid w:val="00D537C0"/>
    <w:rsid w:val="00D543C5"/>
    <w:rsid w:val="00D82975"/>
    <w:rsid w:val="00D851E6"/>
    <w:rsid w:val="00D85649"/>
    <w:rsid w:val="00DB00EE"/>
    <w:rsid w:val="00DD0FD7"/>
    <w:rsid w:val="00DD66CD"/>
    <w:rsid w:val="00DE139C"/>
    <w:rsid w:val="00E021E0"/>
    <w:rsid w:val="00E04A76"/>
    <w:rsid w:val="00E12E01"/>
    <w:rsid w:val="00E226B0"/>
    <w:rsid w:val="00E26B69"/>
    <w:rsid w:val="00E27505"/>
    <w:rsid w:val="00E31B11"/>
    <w:rsid w:val="00E46763"/>
    <w:rsid w:val="00E554EC"/>
    <w:rsid w:val="00EC119D"/>
    <w:rsid w:val="00EE1151"/>
    <w:rsid w:val="00EF3A4D"/>
    <w:rsid w:val="00EF3C3F"/>
    <w:rsid w:val="00F234D3"/>
    <w:rsid w:val="00F24935"/>
    <w:rsid w:val="00F3125D"/>
    <w:rsid w:val="00F47EB6"/>
    <w:rsid w:val="00F67598"/>
    <w:rsid w:val="00FD3BEF"/>
    <w:rsid w:val="00FD5656"/>
    <w:rsid w:val="00FE3736"/>
    <w:rsid w:val="01213882"/>
    <w:rsid w:val="013A5BAB"/>
    <w:rsid w:val="01916C5A"/>
    <w:rsid w:val="019404F8"/>
    <w:rsid w:val="024C4027"/>
    <w:rsid w:val="027A149C"/>
    <w:rsid w:val="029B27CB"/>
    <w:rsid w:val="02C60B85"/>
    <w:rsid w:val="033C0E47"/>
    <w:rsid w:val="039C0BE0"/>
    <w:rsid w:val="03DE7BE8"/>
    <w:rsid w:val="04567CE7"/>
    <w:rsid w:val="05455025"/>
    <w:rsid w:val="062F259D"/>
    <w:rsid w:val="06815CF5"/>
    <w:rsid w:val="06EE6A65"/>
    <w:rsid w:val="07723089"/>
    <w:rsid w:val="07807554"/>
    <w:rsid w:val="09287EA3"/>
    <w:rsid w:val="096E162E"/>
    <w:rsid w:val="09A800A0"/>
    <w:rsid w:val="0A0718F5"/>
    <w:rsid w:val="0A9142F8"/>
    <w:rsid w:val="0AC9607D"/>
    <w:rsid w:val="0B2956C1"/>
    <w:rsid w:val="0B6A21C3"/>
    <w:rsid w:val="0B833EE2"/>
    <w:rsid w:val="0BA53A2D"/>
    <w:rsid w:val="0C1666D9"/>
    <w:rsid w:val="0C9D4705"/>
    <w:rsid w:val="0CE71E24"/>
    <w:rsid w:val="0D5648B3"/>
    <w:rsid w:val="0D8853B5"/>
    <w:rsid w:val="0D8A54C6"/>
    <w:rsid w:val="0E686F94"/>
    <w:rsid w:val="0E8F2773"/>
    <w:rsid w:val="0EBD1E80"/>
    <w:rsid w:val="0F505C09"/>
    <w:rsid w:val="0FC14BAE"/>
    <w:rsid w:val="104D6442"/>
    <w:rsid w:val="1093046C"/>
    <w:rsid w:val="10A64E23"/>
    <w:rsid w:val="119B4F8B"/>
    <w:rsid w:val="11A352D0"/>
    <w:rsid w:val="11FF09CD"/>
    <w:rsid w:val="12183B00"/>
    <w:rsid w:val="133A233B"/>
    <w:rsid w:val="13743CE5"/>
    <w:rsid w:val="137912FC"/>
    <w:rsid w:val="1519607F"/>
    <w:rsid w:val="16797F90"/>
    <w:rsid w:val="169134BC"/>
    <w:rsid w:val="16C3745D"/>
    <w:rsid w:val="182201B4"/>
    <w:rsid w:val="18716A45"/>
    <w:rsid w:val="188C387F"/>
    <w:rsid w:val="18A10C1E"/>
    <w:rsid w:val="18E772F1"/>
    <w:rsid w:val="198D3D53"/>
    <w:rsid w:val="19D52634"/>
    <w:rsid w:val="19F473B9"/>
    <w:rsid w:val="19FE255B"/>
    <w:rsid w:val="1A02204B"/>
    <w:rsid w:val="1A840CB2"/>
    <w:rsid w:val="1ADC1DF2"/>
    <w:rsid w:val="1ADC289C"/>
    <w:rsid w:val="1B0167A6"/>
    <w:rsid w:val="1B16695D"/>
    <w:rsid w:val="1B574618"/>
    <w:rsid w:val="1B8F3C94"/>
    <w:rsid w:val="1BC11A92"/>
    <w:rsid w:val="1BC55600"/>
    <w:rsid w:val="1BD67584"/>
    <w:rsid w:val="1BEC54E0"/>
    <w:rsid w:val="1C78576B"/>
    <w:rsid w:val="1CE73048"/>
    <w:rsid w:val="1CE7377A"/>
    <w:rsid w:val="1D8638A1"/>
    <w:rsid w:val="1E0904E9"/>
    <w:rsid w:val="1E472722"/>
    <w:rsid w:val="1E935967"/>
    <w:rsid w:val="1F066139"/>
    <w:rsid w:val="1F1F544D"/>
    <w:rsid w:val="1F385C1C"/>
    <w:rsid w:val="1F6D2720"/>
    <w:rsid w:val="204D5FEA"/>
    <w:rsid w:val="207D68CF"/>
    <w:rsid w:val="21937A2C"/>
    <w:rsid w:val="21EC7844"/>
    <w:rsid w:val="22082E5F"/>
    <w:rsid w:val="2246183E"/>
    <w:rsid w:val="232E2103"/>
    <w:rsid w:val="238166D6"/>
    <w:rsid w:val="23F8626D"/>
    <w:rsid w:val="242157C3"/>
    <w:rsid w:val="25F56F08"/>
    <w:rsid w:val="261326D8"/>
    <w:rsid w:val="26B7240F"/>
    <w:rsid w:val="26DE174A"/>
    <w:rsid w:val="27710810"/>
    <w:rsid w:val="279D7857"/>
    <w:rsid w:val="27C13545"/>
    <w:rsid w:val="27F82CDF"/>
    <w:rsid w:val="28871BF5"/>
    <w:rsid w:val="28A21AC1"/>
    <w:rsid w:val="297D16EE"/>
    <w:rsid w:val="29807EDD"/>
    <w:rsid w:val="29D104B5"/>
    <w:rsid w:val="2A3224D8"/>
    <w:rsid w:val="2AAA5A29"/>
    <w:rsid w:val="2AC45712"/>
    <w:rsid w:val="2AF21C68"/>
    <w:rsid w:val="2B1D7E41"/>
    <w:rsid w:val="2B7A0C0D"/>
    <w:rsid w:val="2BE9306B"/>
    <w:rsid w:val="2C1A182F"/>
    <w:rsid w:val="2C8B2374"/>
    <w:rsid w:val="2D12039F"/>
    <w:rsid w:val="2D1442E2"/>
    <w:rsid w:val="2D597C88"/>
    <w:rsid w:val="2DC773DC"/>
    <w:rsid w:val="2DD6761F"/>
    <w:rsid w:val="2E130839"/>
    <w:rsid w:val="2E642E7C"/>
    <w:rsid w:val="2EAF3D72"/>
    <w:rsid w:val="2FE9188B"/>
    <w:rsid w:val="301663F8"/>
    <w:rsid w:val="302D5F76"/>
    <w:rsid w:val="31BE5FD0"/>
    <w:rsid w:val="33527747"/>
    <w:rsid w:val="33E17357"/>
    <w:rsid w:val="34747AB4"/>
    <w:rsid w:val="34F165B7"/>
    <w:rsid w:val="35215623"/>
    <w:rsid w:val="352D5BCD"/>
    <w:rsid w:val="35305392"/>
    <w:rsid w:val="354D466A"/>
    <w:rsid w:val="3598340C"/>
    <w:rsid w:val="35FF4A5B"/>
    <w:rsid w:val="36B35E10"/>
    <w:rsid w:val="36B50719"/>
    <w:rsid w:val="36E9776F"/>
    <w:rsid w:val="36F32FEF"/>
    <w:rsid w:val="37145697"/>
    <w:rsid w:val="377836DA"/>
    <w:rsid w:val="37F4701F"/>
    <w:rsid w:val="381C6C88"/>
    <w:rsid w:val="38241593"/>
    <w:rsid w:val="382D0783"/>
    <w:rsid w:val="387A39BB"/>
    <w:rsid w:val="39777F08"/>
    <w:rsid w:val="39BC3B6C"/>
    <w:rsid w:val="39E9692C"/>
    <w:rsid w:val="39F4058D"/>
    <w:rsid w:val="3B154354"/>
    <w:rsid w:val="3B2920C2"/>
    <w:rsid w:val="3B312338"/>
    <w:rsid w:val="3B6A3AD8"/>
    <w:rsid w:val="3C4F5758"/>
    <w:rsid w:val="3C9C5ED7"/>
    <w:rsid w:val="3CA87047"/>
    <w:rsid w:val="3CDA5184"/>
    <w:rsid w:val="3D4520CB"/>
    <w:rsid w:val="3D7C57F1"/>
    <w:rsid w:val="3D8C7CFA"/>
    <w:rsid w:val="3D9372DA"/>
    <w:rsid w:val="3DDA2813"/>
    <w:rsid w:val="3E842ABA"/>
    <w:rsid w:val="3E9A4EC8"/>
    <w:rsid w:val="3EA64DEB"/>
    <w:rsid w:val="3EB20FCF"/>
    <w:rsid w:val="3F966C0E"/>
    <w:rsid w:val="3FC4706B"/>
    <w:rsid w:val="3FCE0DE9"/>
    <w:rsid w:val="3FE1257F"/>
    <w:rsid w:val="40330901"/>
    <w:rsid w:val="403E177F"/>
    <w:rsid w:val="40C924BF"/>
    <w:rsid w:val="40E85B0E"/>
    <w:rsid w:val="40F462E2"/>
    <w:rsid w:val="41270465"/>
    <w:rsid w:val="41931657"/>
    <w:rsid w:val="436C5CAC"/>
    <w:rsid w:val="437454B8"/>
    <w:rsid w:val="443F1622"/>
    <w:rsid w:val="449821D5"/>
    <w:rsid w:val="45244CBC"/>
    <w:rsid w:val="458D0AB3"/>
    <w:rsid w:val="45C81495"/>
    <w:rsid w:val="46827EEC"/>
    <w:rsid w:val="46EE2D2B"/>
    <w:rsid w:val="4737651E"/>
    <w:rsid w:val="47406642"/>
    <w:rsid w:val="47773BE1"/>
    <w:rsid w:val="47D62200"/>
    <w:rsid w:val="4816696C"/>
    <w:rsid w:val="48E56510"/>
    <w:rsid w:val="48F14EB5"/>
    <w:rsid w:val="4ACF1226"/>
    <w:rsid w:val="4B026CBA"/>
    <w:rsid w:val="4B6D0D61"/>
    <w:rsid w:val="4BB04CFE"/>
    <w:rsid w:val="4C3C09BB"/>
    <w:rsid w:val="4C4D4AF8"/>
    <w:rsid w:val="4C896448"/>
    <w:rsid w:val="4C9F50BC"/>
    <w:rsid w:val="4CF11927"/>
    <w:rsid w:val="4D0C339F"/>
    <w:rsid w:val="4DB95DBA"/>
    <w:rsid w:val="4DCE1C69"/>
    <w:rsid w:val="4E4C150B"/>
    <w:rsid w:val="4E5B174E"/>
    <w:rsid w:val="4EA21AFA"/>
    <w:rsid w:val="4EDB463D"/>
    <w:rsid w:val="4FAB5B5A"/>
    <w:rsid w:val="4FE13ED5"/>
    <w:rsid w:val="50097D14"/>
    <w:rsid w:val="508825A3"/>
    <w:rsid w:val="50A078EC"/>
    <w:rsid w:val="50E0418D"/>
    <w:rsid w:val="51051E45"/>
    <w:rsid w:val="51230ABD"/>
    <w:rsid w:val="51BA20E7"/>
    <w:rsid w:val="51F83758"/>
    <w:rsid w:val="530E7440"/>
    <w:rsid w:val="53964FD7"/>
    <w:rsid w:val="53A93E47"/>
    <w:rsid w:val="53BB764F"/>
    <w:rsid w:val="542B7539"/>
    <w:rsid w:val="543D36A4"/>
    <w:rsid w:val="544838F9"/>
    <w:rsid w:val="54AF45A2"/>
    <w:rsid w:val="54BC0A6D"/>
    <w:rsid w:val="54C842F3"/>
    <w:rsid w:val="54DB5397"/>
    <w:rsid w:val="54DD7B5F"/>
    <w:rsid w:val="550167C3"/>
    <w:rsid w:val="5531066C"/>
    <w:rsid w:val="555B1B1C"/>
    <w:rsid w:val="55F4231A"/>
    <w:rsid w:val="56C105BC"/>
    <w:rsid w:val="57A56CA4"/>
    <w:rsid w:val="57DE6F4C"/>
    <w:rsid w:val="585D78D3"/>
    <w:rsid w:val="58B33F35"/>
    <w:rsid w:val="59CF4553"/>
    <w:rsid w:val="59F4111D"/>
    <w:rsid w:val="5A1B1B1B"/>
    <w:rsid w:val="5A2438B7"/>
    <w:rsid w:val="5A345634"/>
    <w:rsid w:val="5A7122F9"/>
    <w:rsid w:val="5A917B93"/>
    <w:rsid w:val="5B1D49E8"/>
    <w:rsid w:val="5B557DAA"/>
    <w:rsid w:val="5B714424"/>
    <w:rsid w:val="5CE0290D"/>
    <w:rsid w:val="5D6677C8"/>
    <w:rsid w:val="5E201B56"/>
    <w:rsid w:val="5E6A7E0A"/>
    <w:rsid w:val="5ECA2749"/>
    <w:rsid w:val="5EF03F1E"/>
    <w:rsid w:val="601F717E"/>
    <w:rsid w:val="606B69D6"/>
    <w:rsid w:val="60D0527F"/>
    <w:rsid w:val="61025A59"/>
    <w:rsid w:val="610E43FE"/>
    <w:rsid w:val="6192502F"/>
    <w:rsid w:val="61EB473F"/>
    <w:rsid w:val="62822CA3"/>
    <w:rsid w:val="631E2B3E"/>
    <w:rsid w:val="63D62206"/>
    <w:rsid w:val="63FD327C"/>
    <w:rsid w:val="63FE4BFE"/>
    <w:rsid w:val="64222DCB"/>
    <w:rsid w:val="643C5ECA"/>
    <w:rsid w:val="64715C24"/>
    <w:rsid w:val="647629E6"/>
    <w:rsid w:val="65011C14"/>
    <w:rsid w:val="66C3780C"/>
    <w:rsid w:val="66F146C9"/>
    <w:rsid w:val="672C2A5E"/>
    <w:rsid w:val="674D3E1E"/>
    <w:rsid w:val="67780823"/>
    <w:rsid w:val="67925D89"/>
    <w:rsid w:val="68046C31"/>
    <w:rsid w:val="68447EF6"/>
    <w:rsid w:val="68471D45"/>
    <w:rsid w:val="68540A4A"/>
    <w:rsid w:val="68995135"/>
    <w:rsid w:val="68BC6E36"/>
    <w:rsid w:val="68E63310"/>
    <w:rsid w:val="69930F7B"/>
    <w:rsid w:val="6AA3205B"/>
    <w:rsid w:val="6AC81AC2"/>
    <w:rsid w:val="6B5559B8"/>
    <w:rsid w:val="6C3975C0"/>
    <w:rsid w:val="6C3B62C3"/>
    <w:rsid w:val="6DCF4F15"/>
    <w:rsid w:val="6E182D60"/>
    <w:rsid w:val="6E3F653F"/>
    <w:rsid w:val="6E445240"/>
    <w:rsid w:val="6F122FD7"/>
    <w:rsid w:val="6F621983"/>
    <w:rsid w:val="6FDA1B8C"/>
    <w:rsid w:val="70E13DD1"/>
    <w:rsid w:val="70FC3110"/>
    <w:rsid w:val="710567DF"/>
    <w:rsid w:val="712F289B"/>
    <w:rsid w:val="71A5490B"/>
    <w:rsid w:val="71AC3EEB"/>
    <w:rsid w:val="72D60AF4"/>
    <w:rsid w:val="737447B3"/>
    <w:rsid w:val="73BE334D"/>
    <w:rsid w:val="73E57241"/>
    <w:rsid w:val="73F41B79"/>
    <w:rsid w:val="74B31C0B"/>
    <w:rsid w:val="75181898"/>
    <w:rsid w:val="756248C1"/>
    <w:rsid w:val="756C5C5A"/>
    <w:rsid w:val="75B7709C"/>
    <w:rsid w:val="76493F18"/>
    <w:rsid w:val="764D505D"/>
    <w:rsid w:val="76971D67"/>
    <w:rsid w:val="769E1B5A"/>
    <w:rsid w:val="773E79F2"/>
    <w:rsid w:val="779C1A58"/>
    <w:rsid w:val="789456D9"/>
    <w:rsid w:val="790A599B"/>
    <w:rsid w:val="79551BEE"/>
    <w:rsid w:val="79CD2C51"/>
    <w:rsid w:val="7A0423EA"/>
    <w:rsid w:val="7A242C86"/>
    <w:rsid w:val="7A626FB6"/>
    <w:rsid w:val="7A9B5B87"/>
    <w:rsid w:val="7A9E0896"/>
    <w:rsid w:val="7B0C1ABD"/>
    <w:rsid w:val="7BC97238"/>
    <w:rsid w:val="7BF24BF0"/>
    <w:rsid w:val="7C1F175E"/>
    <w:rsid w:val="7CB02130"/>
    <w:rsid w:val="7CEF7380"/>
    <w:rsid w:val="7D76640E"/>
    <w:rsid w:val="7F855D7C"/>
    <w:rsid w:val="7FF64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qFormat/>
    <w:uiPriority w:val="99"/>
    <w:rPr>
      <w:color w:val="0000FF"/>
      <w:u w:val="single"/>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styleId="10">
    <w:name w:val="Placeholder Text"/>
    <w:basedOn w:val="6"/>
    <w:semiHidden/>
    <w:qFormat/>
    <w:uiPriority w:val="99"/>
    <w:rPr>
      <w:color w:val="808080"/>
    </w:rPr>
  </w:style>
  <w:style w:type="paragraph" w:customStyle="1" w:styleId="11">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12">
    <w:name w:val="批注框文本 字符"/>
    <w:basedOn w:val="6"/>
    <w:link w:val="2"/>
    <w:semiHidden/>
    <w:qFormat/>
    <w:uiPriority w:val="99"/>
    <w:rPr>
      <w:rFonts w:asciiTheme="minorHAnsi" w:hAnsiTheme="minorHAnsi" w:eastAsiaTheme="minorEastAsia" w:cstheme="minorBidi"/>
      <w:kern w:val="2"/>
      <w:sz w:val="18"/>
      <w:szCs w:val="18"/>
    </w:rPr>
  </w:style>
  <w:style w:type="paragraph" w:customStyle="1" w:styleId="13">
    <w:name w:val="msolistparagraph"/>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3.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845C26-7348-4CB0-888A-59522C2D5D76}">
  <ds:schemaRefs/>
</ds:datastoreItem>
</file>

<file path=customXml/itemProps3.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2693</Words>
  <Characters>15275</Characters>
  <Lines>128</Lines>
  <Paragraphs>36</Paragraphs>
  <TotalTime>3</TotalTime>
  <ScaleCrop>false</ScaleCrop>
  <LinksUpToDate>false</LinksUpToDate>
  <CharactersWithSpaces>17749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2022-03-17T05:57:00Z</dcterms:created>
  <dc:creator>Administrator</dc:creator>
  <cp:lastModifiedBy>Administrator</cp:lastModifiedBy>
  <cp:lastPrinted>2022-03-17T05:56:00Z</cp:lastPrinted>
  <dcterms:modified xsi:type="dcterms:W3CDTF">2023-11-29T06:55:48Z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AB14370B73F140038EAA10070985C2BF</vt:lpwstr>
  </property>
</Properties>
</file>