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line="240" w:lineRule="exact"/>
        <w:jc w:val="left"/>
        <w:rPr>
          <w:rFonts w:ascii="Arial" w:hAnsi="Arial" w:eastAsia="Arial Unicode MS" w:cs="Arial"/>
          <w:sz w:val="20"/>
          <w:szCs w:val="20"/>
        </w:rPr>
      </w:pPr>
      <w:r>
        <w:rPr>
          <w:rFonts w:hint="eastAsia" w:ascii="Arial" w:hAnsi="Arial" w:eastAsia="Arial Unicode MS" w:cs="Arial"/>
          <w:sz w:val="20"/>
          <w:szCs w:val="20"/>
        </w:rPr>
        <w:t>C</w:t>
      </w:r>
      <w:r>
        <w:rPr>
          <w:rFonts w:ascii="Arial" w:hAnsi="Arial" w:eastAsia="Arial Unicode MS" w:cs="Arial"/>
          <w:sz w:val="20"/>
          <w:szCs w:val="20"/>
        </w:rPr>
        <w:t>LINICAL RESEAPCH</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Arial" w:hAnsi="Arial" w:cs="Arial"/>
          <w:b/>
          <w:sz w:val="32"/>
          <w:szCs w:val="32"/>
        </w:rPr>
      </w:pPr>
      <w:r>
        <w:rPr>
          <w:rFonts w:hint="default" w:ascii="Arial" w:hAnsi="Arial" w:cs="Arial"/>
          <w:b/>
          <w:bCs/>
          <w:sz w:val="32"/>
          <w:szCs w:val="32"/>
        </w:rPr>
        <w:t xml:space="preserve">Therapeutic </w:t>
      </w:r>
      <w:r>
        <w:rPr>
          <w:rFonts w:hint="eastAsia" w:ascii="Arial" w:hAnsi="Arial" w:cs="Arial"/>
          <w:b/>
          <w:bCs/>
          <w:sz w:val="32"/>
          <w:szCs w:val="32"/>
          <w:lang w:val="en-US" w:eastAsia="zh-CN"/>
        </w:rPr>
        <w:t>E</w:t>
      </w:r>
      <w:r>
        <w:rPr>
          <w:rFonts w:hint="default" w:ascii="Arial" w:hAnsi="Arial" w:cs="Arial"/>
          <w:b/>
          <w:bCs/>
          <w:sz w:val="32"/>
          <w:szCs w:val="32"/>
        </w:rPr>
        <w:t xml:space="preserve">ffect of lipoic </w:t>
      </w:r>
      <w:r>
        <w:rPr>
          <w:rFonts w:hint="eastAsia" w:ascii="Arial" w:hAnsi="Arial" w:cs="Arial"/>
          <w:b/>
          <w:bCs/>
          <w:sz w:val="32"/>
          <w:szCs w:val="32"/>
          <w:lang w:val="en-US" w:eastAsia="zh-CN"/>
        </w:rPr>
        <w:t>A</w:t>
      </w:r>
      <w:r>
        <w:rPr>
          <w:rFonts w:hint="default" w:ascii="Arial" w:hAnsi="Arial" w:cs="Arial"/>
          <w:b/>
          <w:bCs/>
          <w:sz w:val="32"/>
          <w:szCs w:val="32"/>
        </w:rPr>
        <w:t xml:space="preserve">cid </w:t>
      </w:r>
      <w:r>
        <w:rPr>
          <w:rFonts w:hint="eastAsia" w:ascii="Arial" w:hAnsi="Arial" w:cs="Arial"/>
          <w:b/>
          <w:bCs/>
          <w:sz w:val="32"/>
          <w:szCs w:val="32"/>
          <w:lang w:val="en-US" w:eastAsia="zh-CN"/>
        </w:rPr>
        <w:t>I</w:t>
      </w:r>
      <w:r>
        <w:rPr>
          <w:rFonts w:hint="default" w:ascii="Arial" w:hAnsi="Arial" w:cs="Arial"/>
          <w:b/>
          <w:bCs/>
          <w:sz w:val="32"/>
          <w:szCs w:val="32"/>
        </w:rPr>
        <w:t xml:space="preserve">njection </w:t>
      </w:r>
      <w:r>
        <w:rPr>
          <w:rFonts w:hint="eastAsia" w:ascii="Arial" w:hAnsi="Arial" w:cs="Arial"/>
          <w:b/>
          <w:bCs/>
          <w:sz w:val="32"/>
          <w:szCs w:val="32"/>
          <w:lang w:val="en-US" w:eastAsia="zh-CN"/>
        </w:rPr>
        <w:t>I</w:t>
      </w:r>
      <w:r>
        <w:rPr>
          <w:rFonts w:hint="default" w:ascii="Arial" w:hAnsi="Arial" w:cs="Arial"/>
          <w:b/>
          <w:bCs/>
          <w:sz w:val="32"/>
          <w:szCs w:val="32"/>
        </w:rPr>
        <w:t xml:space="preserve">ntointo </w:t>
      </w:r>
      <w:r>
        <w:rPr>
          <w:rFonts w:hint="eastAsia" w:ascii="Arial" w:hAnsi="Arial" w:cs="Arial"/>
          <w:b/>
          <w:bCs/>
          <w:sz w:val="32"/>
          <w:szCs w:val="32"/>
          <w:lang w:val="en-US" w:eastAsia="zh-CN"/>
        </w:rPr>
        <w:t>P</w:t>
      </w:r>
      <w:r>
        <w:rPr>
          <w:rFonts w:hint="default" w:ascii="Arial" w:hAnsi="Arial" w:cs="Arial"/>
          <w:b/>
          <w:bCs/>
          <w:sz w:val="32"/>
          <w:szCs w:val="32"/>
        </w:rPr>
        <w:t xml:space="preserve">atients with </w:t>
      </w:r>
      <w:r>
        <w:rPr>
          <w:rFonts w:hint="eastAsia" w:ascii="Arial" w:hAnsi="Arial" w:cs="Arial"/>
          <w:b/>
          <w:bCs/>
          <w:sz w:val="32"/>
          <w:szCs w:val="32"/>
          <w:lang w:val="en-US" w:eastAsia="zh-CN"/>
        </w:rPr>
        <w:t>C</w:t>
      </w:r>
      <w:r>
        <w:rPr>
          <w:rFonts w:hint="default" w:ascii="Arial" w:hAnsi="Arial" w:cs="Arial"/>
          <w:b/>
          <w:bCs/>
          <w:sz w:val="32"/>
          <w:szCs w:val="32"/>
        </w:rPr>
        <w:t xml:space="preserve">erebral </w:t>
      </w:r>
      <w:r>
        <w:rPr>
          <w:rFonts w:hint="eastAsia" w:ascii="Arial" w:hAnsi="Arial" w:cs="Arial"/>
          <w:b/>
          <w:bCs/>
          <w:sz w:val="32"/>
          <w:szCs w:val="32"/>
          <w:lang w:val="en-US" w:eastAsia="zh-CN"/>
        </w:rPr>
        <w:t>I</w:t>
      </w:r>
      <w:r>
        <w:rPr>
          <w:rFonts w:hint="default" w:ascii="Arial" w:hAnsi="Arial" w:cs="Arial"/>
          <w:b/>
          <w:bCs/>
          <w:sz w:val="32"/>
          <w:szCs w:val="32"/>
        </w:rPr>
        <w:t xml:space="preserve">nfarction and its </w:t>
      </w:r>
      <w:r>
        <w:rPr>
          <w:rFonts w:hint="eastAsia" w:ascii="Arial" w:hAnsi="Arial" w:cs="Arial"/>
          <w:b/>
          <w:bCs/>
          <w:sz w:val="32"/>
          <w:szCs w:val="32"/>
          <w:lang w:val="en-US" w:eastAsia="zh-CN"/>
        </w:rPr>
        <w:t>E</w:t>
      </w:r>
      <w:r>
        <w:rPr>
          <w:rFonts w:hint="default" w:ascii="Arial" w:hAnsi="Arial" w:cs="Arial"/>
          <w:b/>
          <w:bCs/>
          <w:sz w:val="32"/>
          <w:szCs w:val="32"/>
        </w:rPr>
        <w:t xml:space="preserve">ffects on </w:t>
      </w:r>
      <w:r>
        <w:rPr>
          <w:rFonts w:hint="eastAsia" w:ascii="Arial" w:hAnsi="Arial" w:cs="Arial"/>
          <w:b/>
          <w:bCs/>
          <w:sz w:val="32"/>
          <w:szCs w:val="32"/>
          <w:lang w:val="en-US" w:eastAsia="zh-CN"/>
        </w:rPr>
        <w:t>I</w:t>
      </w:r>
      <w:r>
        <w:rPr>
          <w:rFonts w:hint="default" w:ascii="Arial" w:hAnsi="Arial" w:cs="Arial"/>
          <w:b/>
          <w:bCs/>
          <w:sz w:val="32"/>
          <w:szCs w:val="32"/>
        </w:rPr>
        <w:t xml:space="preserve">nflammatory </w:t>
      </w:r>
      <w:r>
        <w:rPr>
          <w:rFonts w:hint="eastAsia" w:ascii="Arial" w:hAnsi="Arial" w:cs="Arial"/>
          <w:b/>
          <w:bCs/>
          <w:sz w:val="32"/>
          <w:szCs w:val="32"/>
          <w:lang w:val="en-US" w:eastAsia="zh-CN"/>
        </w:rPr>
        <w:t>F</w:t>
      </w:r>
      <w:r>
        <w:rPr>
          <w:rFonts w:hint="default" w:ascii="Arial" w:hAnsi="Arial" w:cs="Arial"/>
          <w:b/>
          <w:bCs/>
          <w:sz w:val="32"/>
          <w:szCs w:val="32"/>
        </w:rPr>
        <w:t xml:space="preserve">actors and </w:t>
      </w:r>
      <w:r>
        <w:rPr>
          <w:rFonts w:hint="eastAsia" w:ascii="Arial" w:hAnsi="Arial" w:cs="Arial"/>
          <w:b/>
          <w:bCs/>
          <w:sz w:val="32"/>
          <w:szCs w:val="32"/>
          <w:lang w:val="en-US" w:eastAsia="zh-CN"/>
        </w:rPr>
        <w:t>O</w:t>
      </w:r>
      <w:r>
        <w:rPr>
          <w:rFonts w:hint="default" w:ascii="Arial" w:hAnsi="Arial" w:cs="Arial"/>
          <w:b/>
          <w:bCs/>
          <w:sz w:val="32"/>
          <w:szCs w:val="32"/>
        </w:rPr>
        <w:t xml:space="preserve">xidative </w:t>
      </w:r>
      <w:r>
        <w:rPr>
          <w:rFonts w:hint="eastAsia" w:ascii="Arial" w:hAnsi="Arial" w:cs="Arial"/>
          <w:b/>
          <w:bCs/>
          <w:sz w:val="32"/>
          <w:szCs w:val="32"/>
          <w:lang w:val="en-US" w:eastAsia="zh-CN"/>
        </w:rPr>
        <w:t>S</w:t>
      </w:r>
      <w:r>
        <w:rPr>
          <w:rFonts w:hint="default" w:ascii="Arial" w:hAnsi="Arial" w:cs="Arial"/>
          <w:b/>
          <w:bCs/>
          <w:sz w:val="32"/>
          <w:szCs w:val="32"/>
        </w:rPr>
        <w:t>tress</w:t>
      </w:r>
    </w:p>
    <w:p>
      <w:pPr>
        <w:widowControl/>
        <w:spacing w:before="312" w:beforeLines="100"/>
        <w:jc w:val="left"/>
        <w:rPr>
          <w:rFonts w:hint="default" w:ascii="Arial" w:hAnsi="Arial" w:eastAsia="Arial Unicode MS" w:cs="Arial"/>
          <w:sz w:val="20"/>
          <w:szCs w:val="20"/>
          <w:lang w:val="en-US" w:eastAsia="zh-CN"/>
        </w:rPr>
      </w:pPr>
      <w:r>
        <w:rPr>
          <w:rFonts w:hint="eastAsia" w:ascii="Arial" w:hAnsi="Arial" w:eastAsia="Arial Unicode MS" w:cs="Arial"/>
          <w:sz w:val="20"/>
          <w:szCs w:val="20"/>
          <w:lang w:val="en-US" w:eastAsia="zh-CN"/>
        </w:rPr>
        <w:t>Yuting Lu</w:t>
      </w:r>
      <w:r>
        <w:rPr>
          <w:rFonts w:hint="eastAsia" w:ascii="Arial" w:hAnsi="Arial" w:eastAsia="Arial Unicode MS" w:cs="Arial"/>
          <w:sz w:val="20"/>
          <w:szCs w:val="20"/>
          <w:vertAlign w:val="superscript"/>
          <w:lang w:val="en-US" w:eastAsia="zh-CN"/>
        </w:rPr>
        <w:t xml:space="preserve">1 </w:t>
      </w:r>
      <w:r>
        <w:rPr>
          <w:rFonts w:hint="eastAsia" w:ascii="Arial" w:hAnsi="Arial" w:eastAsia="Arial Unicode MS" w:cs="Arial"/>
          <w:sz w:val="20"/>
          <w:szCs w:val="20"/>
          <w:vertAlign w:val="baseline"/>
          <w:lang w:val="en-US" w:eastAsia="zh-CN"/>
        </w:rPr>
        <w:t>and</w:t>
      </w:r>
      <w:r>
        <w:rPr>
          <w:rFonts w:hint="eastAsia" w:ascii="Arial" w:hAnsi="Arial" w:eastAsia="Arial Unicode MS" w:cs="Arial"/>
          <w:sz w:val="20"/>
          <w:szCs w:val="20"/>
          <w:lang w:val="en-US" w:eastAsia="zh-CN"/>
        </w:rPr>
        <w:t xml:space="preserve"> Xibin Zhao</w:t>
      </w:r>
      <w:r>
        <w:rPr>
          <w:rFonts w:hint="eastAsia" w:ascii="Arial" w:hAnsi="Arial" w:eastAsia="Arial Unicode MS" w:cs="Arial"/>
          <w:sz w:val="20"/>
          <w:szCs w:val="20"/>
          <w:vertAlign w:val="superscript"/>
          <w:lang w:val="en-US" w:eastAsia="zh-CN"/>
        </w:rPr>
        <w:t>1,</w:t>
      </w:r>
      <w:r>
        <w:rPr>
          <w:rFonts w:hint="eastAsia" w:ascii="Arial" w:hAnsi="Arial" w:eastAsia="Arial Unicode MS" w:cs="Arial"/>
          <w:sz w:val="20"/>
          <w:szCs w:val="20"/>
          <w:lang w:val="en-US" w:eastAsia="zh-CN"/>
        </w:rPr>
        <w:t>*</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937" w:afterLines="300" w:afterAutospacing="0"/>
        <w:ind w:left="0" w:right="0"/>
        <w:jc w:val="both"/>
        <w:textAlignment w:val="center"/>
        <w:rPr>
          <w:rFonts w:hint="default" w:ascii="Arial" w:hAnsi="Arial" w:eastAsia="Arial Unicode MS" w:cs="Arial"/>
          <w:sz w:val="20"/>
          <w:szCs w:val="20"/>
        </w:rPr>
      </w:pPr>
      <w:r>
        <w:rPr>
          <w:rFonts w:hint="eastAsia" w:ascii="Arial" w:hAnsi="Arial" w:eastAsia="微软雅黑" w:cs="Arial"/>
          <w:color w:val="000000"/>
          <w:kern w:val="0"/>
          <w:sz w:val="20"/>
          <w:szCs w:val="20"/>
          <w:vertAlign w:val="superscript"/>
          <w:lang w:val="en-US" w:eastAsia="zh-CN" w:bidi="ar"/>
        </w:rPr>
        <w:t>1</w:t>
      </w:r>
      <w:r>
        <w:rPr>
          <w:rFonts w:hint="default" w:ascii="Arial" w:hAnsi="Arial" w:eastAsia="微软雅黑" w:cs="Arial"/>
          <w:color w:val="000000"/>
          <w:kern w:val="0"/>
          <w:sz w:val="20"/>
          <w:szCs w:val="20"/>
          <w:lang w:val="en-US" w:eastAsia="zh-CN" w:bidi="ar"/>
        </w:rPr>
        <w:t>Jiaxing Hospital of Traditional Chinese Medicine</w:t>
      </w:r>
    </w:p>
    <w:p>
      <w:pPr>
        <w:widowControl/>
        <w:jc w:val="left"/>
        <w:rPr>
          <w:rFonts w:ascii="Arial" w:hAnsi="Arial" w:eastAsia="Arial Unicode MS" w:cs="Arial"/>
          <w:b/>
          <w:sz w:val="15"/>
          <w:szCs w:val="15"/>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64" w:gutter="0"/>
          <w:pgNumType w:fmt="decimal" w:start="7"/>
          <w:cols w:space="0" w:num="1"/>
          <w:titlePg/>
          <w:docGrid w:type="lines" w:linePitch="312" w:charSpace="0"/>
        </w:sectPr>
      </w:pPr>
    </w:p>
    <w:p>
      <w:pPr>
        <w:keepNext w:val="0"/>
        <w:keepLines w:val="0"/>
        <w:pageBreakBefore w:val="0"/>
        <w:widowControl/>
        <w:kinsoku/>
        <w:wordWrap/>
        <w:overflowPunct/>
        <w:topLinePunct w:val="0"/>
        <w:autoSpaceDE/>
        <w:autoSpaceDN/>
        <w:bidi w:val="0"/>
        <w:adjustRightInd/>
        <w:snapToGrid/>
        <w:jc w:val="left"/>
        <w:textAlignment w:val="auto"/>
        <w:rPr>
          <w:rFonts w:ascii="Arial" w:hAnsi="Arial" w:eastAsia="Arial Unicode MS" w:cs="Arial"/>
          <w:b/>
          <w:sz w:val="15"/>
          <w:szCs w:val="15"/>
        </w:rPr>
      </w:pPr>
      <w:r>
        <w:rPr>
          <w:rFonts w:ascii="Arial" w:hAnsi="Arial" w:eastAsia="Arial Unicode MS" w:cs="Arial"/>
          <w:b/>
          <w:sz w:val="15"/>
          <w:szCs w:val="15"/>
        </w:rPr>
        <w:t>Keywords</w:t>
      </w:r>
    </w:p>
    <w:p>
      <w:pPr>
        <w:keepNext w:val="0"/>
        <w:keepLines w:val="0"/>
        <w:pageBreakBefore w:val="0"/>
        <w:widowControl/>
        <w:kinsoku/>
        <w:wordWrap/>
        <w:overflowPunct/>
        <w:topLinePunct w:val="0"/>
        <w:autoSpaceDE/>
        <w:autoSpaceDN/>
        <w:bidi w:val="0"/>
        <w:adjustRightInd/>
        <w:snapToGrid/>
        <w:spacing w:after="625" w:afterLines="200"/>
        <w:jc w:val="left"/>
        <w:textAlignment w:val="auto"/>
        <w:rPr>
          <w:rFonts w:ascii="Arial" w:hAnsi="Arial" w:cs="Arial"/>
          <w:sz w:val="13"/>
          <w:szCs w:val="13"/>
        </w:rPr>
      </w:pPr>
      <w:r>
        <w:rPr>
          <w:rFonts w:hint="default" w:ascii="Arial" w:hAnsi="Arial" w:cs="Arial"/>
          <w:sz w:val="13"/>
          <w:szCs w:val="13"/>
        </w:rPr>
        <w:t>Lipoic acid</w:t>
      </w:r>
      <w:r>
        <w:rPr>
          <w:rFonts w:hint="eastAsia" w:ascii="Arial" w:hAnsi="Arial" w:cs="Arial"/>
          <w:sz w:val="13"/>
          <w:szCs w:val="13"/>
          <w:lang w:val="en-US" w:eastAsia="zh-CN"/>
        </w:rPr>
        <w:t>,</w:t>
      </w:r>
      <w:r>
        <w:rPr>
          <w:rFonts w:hint="default" w:ascii="Arial" w:hAnsi="Arial" w:cs="Arial"/>
          <w:b/>
          <w:bCs/>
          <w:sz w:val="13"/>
          <w:szCs w:val="13"/>
        </w:rPr>
        <w:t xml:space="preserve"> </w:t>
      </w:r>
      <w:r>
        <w:rPr>
          <w:rFonts w:hint="default" w:ascii="Arial" w:hAnsi="Arial" w:cs="Arial"/>
          <w:sz w:val="13"/>
          <w:szCs w:val="13"/>
        </w:rPr>
        <w:t>Cerebral infarction</w:t>
      </w:r>
      <w:r>
        <w:rPr>
          <w:rFonts w:hint="eastAsia" w:ascii="Arial" w:hAnsi="Arial" w:cs="Arial"/>
          <w:sz w:val="13"/>
          <w:szCs w:val="13"/>
          <w:lang w:val="en-US" w:eastAsia="zh-CN"/>
        </w:rPr>
        <w:t>,</w:t>
      </w:r>
      <w:r>
        <w:rPr>
          <w:rFonts w:hint="default" w:ascii="Arial" w:hAnsi="Arial" w:cs="Arial"/>
          <w:sz w:val="13"/>
          <w:szCs w:val="13"/>
        </w:rPr>
        <w:t xml:space="preserve"> Inflammatory factors</w:t>
      </w:r>
      <w:r>
        <w:rPr>
          <w:rFonts w:hint="eastAsia" w:ascii="Arial" w:hAnsi="Arial" w:cs="Arial"/>
          <w:sz w:val="13"/>
          <w:szCs w:val="13"/>
          <w:lang w:val="en-US" w:eastAsia="zh-CN"/>
        </w:rPr>
        <w:t>,</w:t>
      </w:r>
      <w:r>
        <w:rPr>
          <w:rFonts w:hint="default" w:ascii="Arial" w:hAnsi="Arial" w:cs="Arial"/>
          <w:sz w:val="13"/>
          <w:szCs w:val="13"/>
        </w:rPr>
        <w:t xml:space="preserve"> Oxidative stress</w:t>
      </w:r>
    </w:p>
    <w:p>
      <w:pPr>
        <w:keepNext w:val="0"/>
        <w:keepLines w:val="0"/>
        <w:pageBreakBefore w:val="0"/>
        <w:widowControl/>
        <w:kinsoku/>
        <w:wordWrap/>
        <w:overflowPunct/>
        <w:topLinePunct w:val="0"/>
        <w:autoSpaceDE/>
        <w:autoSpaceDN/>
        <w:bidi w:val="0"/>
        <w:adjustRightInd/>
        <w:snapToGrid/>
        <w:jc w:val="left"/>
        <w:textAlignment w:val="auto"/>
        <w:rPr>
          <w:rFonts w:ascii="Arial" w:hAnsi="Arial" w:eastAsia="Arial Unicode MS" w:cs="Arial"/>
          <w:b/>
          <w:sz w:val="15"/>
          <w:szCs w:val="15"/>
        </w:rPr>
      </w:pPr>
      <w:r>
        <w:rPr>
          <w:rFonts w:ascii="Arial" w:hAnsi="Arial" w:eastAsia="Arial Unicode MS" w:cs="Arial"/>
          <w:b/>
          <w:sz w:val="15"/>
          <w:szCs w:val="15"/>
        </w:rPr>
        <w:t>Correspondence</w:t>
      </w:r>
    </w:p>
    <w:p>
      <w:pPr>
        <w:keepNext w:val="0"/>
        <w:keepLines w:val="0"/>
        <w:pageBreakBefore w:val="0"/>
        <w:widowControl/>
        <w:suppressLineNumbers w:val="0"/>
        <w:kinsoku/>
        <w:wordWrap/>
        <w:overflowPunct/>
        <w:topLinePunct w:val="0"/>
        <w:autoSpaceDE/>
        <w:autoSpaceDN w:val="0"/>
        <w:bidi w:val="0"/>
        <w:adjustRightInd/>
        <w:snapToGrid/>
        <w:spacing w:before="0" w:beforeAutospacing="0" w:after="625" w:afterLines="200" w:afterAutospacing="0"/>
        <w:ind w:left="0" w:right="0"/>
        <w:jc w:val="both"/>
        <w:textAlignment w:val="center"/>
        <w:rPr>
          <w:rFonts w:hint="default" w:ascii="Arial" w:hAnsi="Arial" w:eastAsia="Arial Unicode MS" w:cs="Arial"/>
          <w:sz w:val="13"/>
          <w:szCs w:val="13"/>
          <w:lang w:val="en-US"/>
        </w:rPr>
      </w:pPr>
      <w:r>
        <w:rPr>
          <w:rFonts w:hint="eastAsia" w:ascii="Arial" w:hAnsi="Arial" w:eastAsia="Arial Unicode MS" w:cs="Arial"/>
          <w:sz w:val="13"/>
          <w:szCs w:val="13"/>
          <w:lang w:val="en-US" w:eastAsia="zh-CN"/>
        </w:rPr>
        <w:t>Xibin Zhao</w:t>
      </w:r>
      <w:r>
        <w:rPr>
          <w:rFonts w:ascii="Arial" w:hAnsi="Arial" w:eastAsia="Arial Unicode MS" w:cs="Arial"/>
          <w:sz w:val="13"/>
          <w:szCs w:val="13"/>
        </w:rPr>
        <w:t>,</w:t>
      </w:r>
      <w:r>
        <w:rPr>
          <w:rFonts w:hint="eastAsia" w:ascii="Arial" w:hAnsi="Arial" w:eastAsia="Arial Unicode MS" w:cs="Arial"/>
          <w:sz w:val="13"/>
          <w:szCs w:val="13"/>
          <w:lang w:val="en-US" w:eastAsia="zh-CN"/>
        </w:rPr>
        <w:t xml:space="preserve"> Jiaxing Traditional Chinese Medicine Hospital, No. 1501, Zhongshan East Road, Xinxing Street, Nanhu District, Jiaxing City, Zhejiang Province</w:t>
      </w:r>
      <w:r>
        <w:rPr>
          <w:rFonts w:hint="eastAsia" w:ascii="Arial" w:hAnsi="Arial" w:eastAsia="微软雅黑" w:cs="Arial"/>
          <w:color w:val="000000"/>
          <w:kern w:val="0"/>
          <w:sz w:val="13"/>
          <w:szCs w:val="13"/>
          <w:lang w:val="en-US" w:eastAsia="zh-CN" w:bidi="ar"/>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Arial" w:hAnsi="Arial" w:eastAsia="Arial Unicode MS" w:cs="Arial"/>
          <w:sz w:val="13"/>
          <w:szCs w:val="13"/>
          <w:lang w:val="en-US" w:eastAsia="zh-CN"/>
        </w:rPr>
      </w:pPr>
      <w:r>
        <w:rPr>
          <w:rFonts w:hint="default" w:ascii="Arial" w:hAnsi="Arial" w:eastAsia="微软雅黑" w:cs="Arial"/>
          <w:i w:val="0"/>
          <w:iCs w:val="0"/>
          <w:caps w:val="0"/>
          <w:spacing w:val="0"/>
          <w:sz w:val="13"/>
          <w:szCs w:val="13"/>
          <w:shd w:val="clear" w:fill="FFFFFF"/>
        </w:rPr>
        <w:t>Received:</w:t>
      </w:r>
      <w:r>
        <w:rPr>
          <w:rFonts w:hint="default" w:ascii="Arial" w:hAnsi="Arial" w:eastAsia="微软雅黑" w:cs="Arial"/>
          <w:i w:val="0"/>
          <w:iCs w:val="0"/>
          <w:caps w:val="0"/>
          <w:spacing w:val="0"/>
          <w:sz w:val="13"/>
          <w:szCs w:val="13"/>
          <w:shd w:val="clear" w:fill="FFFFFF"/>
          <w:lang w:val="en-US" w:eastAsia="zh-CN"/>
        </w:rPr>
        <w:t xml:space="preserve"> </w:t>
      </w:r>
      <w:r>
        <w:rPr>
          <w:rFonts w:hint="eastAsia" w:ascii="Arial" w:hAnsi="Arial" w:eastAsia="微软雅黑" w:cs="Arial"/>
          <w:i w:val="0"/>
          <w:iCs w:val="0"/>
          <w:caps w:val="0"/>
          <w:spacing w:val="0"/>
          <w:sz w:val="13"/>
          <w:szCs w:val="13"/>
          <w:shd w:val="clear" w:fill="FFFFFF"/>
          <w:lang w:val="en-US" w:eastAsia="zh-CN"/>
        </w:rPr>
        <w:t>5</w:t>
      </w:r>
      <w:r>
        <w:rPr>
          <w:rFonts w:hint="default" w:ascii="Arial" w:hAnsi="Arial" w:eastAsia="微软雅黑" w:cs="Arial"/>
          <w:i w:val="0"/>
          <w:iCs w:val="0"/>
          <w:caps w:val="0"/>
          <w:spacing w:val="0"/>
          <w:sz w:val="13"/>
          <w:szCs w:val="13"/>
          <w:shd w:val="clear" w:fill="FFFFFF"/>
        </w:rPr>
        <w:t xml:space="preserve"> </w:t>
      </w:r>
      <w:r>
        <w:rPr>
          <w:rFonts w:hint="eastAsia" w:ascii="Arial" w:hAnsi="Arial" w:eastAsia="微软雅黑" w:cs="Arial"/>
          <w:i w:val="0"/>
          <w:iCs w:val="0"/>
          <w:caps w:val="0"/>
          <w:spacing w:val="0"/>
          <w:sz w:val="13"/>
          <w:szCs w:val="13"/>
          <w:shd w:val="clear" w:fill="FFFFFF"/>
          <w:lang w:val="en-US" w:eastAsia="zh-CN"/>
        </w:rPr>
        <w:t>December</w:t>
      </w:r>
      <w:r>
        <w:rPr>
          <w:rFonts w:hint="default" w:ascii="Arial" w:hAnsi="Arial" w:eastAsia="微软雅黑" w:cs="Arial"/>
          <w:i w:val="0"/>
          <w:iCs w:val="0"/>
          <w:caps w:val="0"/>
          <w:spacing w:val="0"/>
          <w:sz w:val="13"/>
          <w:szCs w:val="13"/>
          <w:shd w:val="clear" w:fill="FFFFFF"/>
        </w:rPr>
        <w:t xml:space="preserve"> </w:t>
      </w:r>
      <w:r>
        <w:rPr>
          <w:rFonts w:hint="eastAsia" w:ascii="Arial" w:hAnsi="Arial" w:eastAsia="微软雅黑" w:cs="Arial"/>
          <w:i w:val="0"/>
          <w:iCs w:val="0"/>
          <w:caps w:val="0"/>
          <w:spacing w:val="0"/>
          <w:sz w:val="13"/>
          <w:szCs w:val="13"/>
          <w:shd w:val="clear" w:fill="FFFFFF"/>
          <w:lang w:val="en-US" w:eastAsia="zh-CN"/>
        </w:rPr>
        <w:t>2019</w:t>
      </w:r>
      <w:r>
        <w:rPr>
          <w:rFonts w:hint="default" w:ascii="Arial" w:hAnsi="Arial" w:eastAsia="微软雅黑" w:cs="Arial"/>
          <w:i w:val="0"/>
          <w:iCs w:val="0"/>
          <w:caps w:val="0"/>
          <w:spacing w:val="0"/>
          <w:sz w:val="13"/>
          <w:szCs w:val="13"/>
          <w:shd w:val="clear" w:fill="FFFFFF"/>
          <w:lang w:val="en-US" w:eastAsia="zh-CN"/>
        </w:rPr>
        <w:t>;</w:t>
      </w:r>
      <w:r>
        <w:rPr>
          <w:rFonts w:hint="default" w:ascii="Arial" w:hAnsi="Arial" w:eastAsia="微软雅黑" w:cs="Arial"/>
          <w:i w:val="0"/>
          <w:iCs w:val="0"/>
          <w:caps w:val="0"/>
          <w:spacing w:val="0"/>
          <w:sz w:val="13"/>
          <w:szCs w:val="13"/>
          <w:shd w:val="clear" w:fill="FFFFFF"/>
        </w:rPr>
        <w:t xml:space="preserve"> Accepted:</w:t>
      </w:r>
      <w:r>
        <w:rPr>
          <w:rFonts w:hint="default" w:ascii="Arial" w:hAnsi="Arial" w:eastAsia="微软雅黑" w:cs="Arial"/>
          <w:i w:val="0"/>
          <w:iCs w:val="0"/>
          <w:caps w:val="0"/>
          <w:spacing w:val="0"/>
          <w:sz w:val="13"/>
          <w:szCs w:val="13"/>
          <w:shd w:val="clear" w:fill="FFFFFF"/>
          <w:lang w:val="en-US" w:eastAsia="zh-CN"/>
        </w:rPr>
        <w:t xml:space="preserve"> </w:t>
      </w:r>
      <w:r>
        <w:rPr>
          <w:rFonts w:hint="eastAsia" w:ascii="Arial" w:hAnsi="Arial" w:eastAsia="微软雅黑" w:cs="Arial"/>
          <w:i w:val="0"/>
          <w:iCs w:val="0"/>
          <w:caps w:val="0"/>
          <w:spacing w:val="0"/>
          <w:sz w:val="13"/>
          <w:szCs w:val="13"/>
          <w:shd w:val="clear" w:fill="FFFFFF"/>
          <w:lang w:val="en-US" w:eastAsia="zh-CN"/>
        </w:rPr>
        <w:t>4</w:t>
      </w:r>
      <w:r>
        <w:rPr>
          <w:rFonts w:hint="default" w:ascii="Arial" w:hAnsi="Arial" w:eastAsia="微软雅黑" w:cs="Arial"/>
          <w:i w:val="0"/>
          <w:iCs w:val="0"/>
          <w:caps w:val="0"/>
          <w:spacing w:val="0"/>
          <w:sz w:val="13"/>
          <w:szCs w:val="13"/>
          <w:shd w:val="clear" w:fill="FFFFFF"/>
        </w:rPr>
        <w:t xml:space="preserve"> </w:t>
      </w:r>
      <w:r>
        <w:rPr>
          <w:rFonts w:hint="eastAsia" w:ascii="Arial" w:hAnsi="Arial" w:eastAsia="微软雅黑" w:cs="Arial"/>
          <w:i w:val="0"/>
          <w:iCs w:val="0"/>
          <w:caps w:val="0"/>
          <w:spacing w:val="0"/>
          <w:sz w:val="13"/>
          <w:szCs w:val="13"/>
          <w:shd w:val="clear" w:fill="FFFFFF"/>
          <w:lang w:val="en-US" w:eastAsia="zh-CN"/>
        </w:rPr>
        <w:t>January</w:t>
      </w:r>
      <w:r>
        <w:rPr>
          <w:rFonts w:hint="default" w:ascii="Arial" w:hAnsi="Arial" w:eastAsia="微软雅黑" w:cs="Arial"/>
          <w:i w:val="0"/>
          <w:iCs w:val="0"/>
          <w:caps w:val="0"/>
          <w:spacing w:val="0"/>
          <w:sz w:val="13"/>
          <w:szCs w:val="13"/>
          <w:shd w:val="clear" w:fill="FFFFFF"/>
        </w:rPr>
        <w:t xml:space="preserve"> 2020</w:t>
      </w:r>
      <w:r>
        <w:rPr>
          <w:rFonts w:hint="default" w:ascii="Arial" w:hAnsi="Arial" w:eastAsia="微软雅黑" w:cs="Arial"/>
          <w:i w:val="0"/>
          <w:iCs w:val="0"/>
          <w:caps w:val="0"/>
          <w:spacing w:val="0"/>
          <w:sz w:val="13"/>
          <w:szCs w:val="13"/>
          <w:shd w:val="clear" w:fill="FFFFFF"/>
          <w:lang w:val="en-US" w:eastAsia="zh-CN"/>
        </w:rPr>
        <w:t>;</w:t>
      </w:r>
      <w:r>
        <w:rPr>
          <w:rFonts w:hint="default" w:ascii="Arial" w:hAnsi="Arial" w:eastAsia="微软雅黑" w:cs="Arial"/>
          <w:i w:val="0"/>
          <w:iCs w:val="0"/>
          <w:caps w:val="0"/>
          <w:spacing w:val="0"/>
          <w:sz w:val="13"/>
          <w:szCs w:val="13"/>
          <w:shd w:val="clear" w:fill="FFFFFF"/>
        </w:rPr>
        <w:t xml:space="preserve"> Published online:</w:t>
      </w:r>
      <w:r>
        <w:rPr>
          <w:rFonts w:hint="default" w:ascii="Arial" w:hAnsi="Arial" w:eastAsia="微软雅黑" w:cs="Arial"/>
          <w:i w:val="0"/>
          <w:iCs w:val="0"/>
          <w:caps w:val="0"/>
          <w:spacing w:val="0"/>
          <w:sz w:val="13"/>
          <w:szCs w:val="13"/>
          <w:shd w:val="clear" w:fill="FFFFFF"/>
          <w:lang w:val="en-US" w:eastAsia="zh-CN"/>
        </w:rPr>
        <w:t xml:space="preserve"> </w:t>
      </w:r>
      <w:r>
        <w:rPr>
          <w:rFonts w:hint="eastAsia" w:ascii="Arial" w:hAnsi="Arial" w:eastAsia="微软雅黑" w:cs="Arial"/>
          <w:i w:val="0"/>
          <w:iCs w:val="0"/>
          <w:caps w:val="0"/>
          <w:spacing w:val="0"/>
          <w:sz w:val="13"/>
          <w:szCs w:val="13"/>
          <w:shd w:val="clear" w:fill="FFFFFF"/>
          <w:lang w:val="en-US" w:eastAsia="zh-CN"/>
        </w:rPr>
        <w:t>3</w:t>
      </w:r>
      <w:r>
        <w:rPr>
          <w:rFonts w:hint="default" w:ascii="Arial" w:hAnsi="Arial" w:eastAsia="微软雅黑" w:cs="Arial"/>
          <w:i w:val="0"/>
          <w:iCs w:val="0"/>
          <w:caps w:val="0"/>
          <w:spacing w:val="0"/>
          <w:sz w:val="13"/>
          <w:szCs w:val="13"/>
          <w:shd w:val="clear" w:fill="FFFFFF"/>
        </w:rPr>
        <w:t xml:space="preserve"> </w:t>
      </w:r>
      <w:r>
        <w:rPr>
          <w:rFonts w:hint="eastAsia" w:ascii="Arial" w:hAnsi="Arial" w:eastAsia="微软雅黑" w:cs="Arial"/>
          <w:i w:val="0"/>
          <w:iCs w:val="0"/>
          <w:caps w:val="0"/>
          <w:spacing w:val="0"/>
          <w:sz w:val="13"/>
          <w:szCs w:val="13"/>
          <w:shd w:val="clear" w:fill="FFFFFF"/>
          <w:lang w:val="en-US" w:eastAsia="zh-CN"/>
        </w:rPr>
        <w:t>February</w:t>
      </w:r>
      <w:r>
        <w:rPr>
          <w:rFonts w:hint="default" w:ascii="Arial" w:hAnsi="Arial" w:eastAsia="微软雅黑" w:cs="Arial"/>
          <w:i w:val="0"/>
          <w:iCs w:val="0"/>
          <w:caps w:val="0"/>
          <w:spacing w:val="0"/>
          <w:sz w:val="13"/>
          <w:szCs w:val="13"/>
          <w:shd w:val="clear" w:fill="FFFFFF"/>
        </w:rPr>
        <w:t xml:space="preserve"> 2020</w:t>
      </w:r>
    </w:p>
    <w:p>
      <w:pPr>
        <w:keepNext w:val="0"/>
        <w:keepLines w:val="0"/>
        <w:pageBreakBefore w:val="0"/>
        <w:widowControl/>
        <w:kinsoku/>
        <w:wordWrap/>
        <w:overflowPunct/>
        <w:topLinePunct w:val="0"/>
        <w:autoSpaceDE/>
        <w:autoSpaceDN/>
        <w:bidi w:val="0"/>
        <w:adjustRightInd/>
        <w:snapToGrid/>
        <w:spacing w:after="625" w:afterLines="200"/>
        <w:jc w:val="left"/>
        <w:textAlignment w:val="auto"/>
        <w:rPr>
          <w:rFonts w:hint="default" w:ascii="Arial" w:hAnsi="Arial" w:eastAsia="Arial Unicode MS" w:cs="Arial"/>
          <w:b/>
          <w:i/>
          <w:sz w:val="13"/>
          <w:szCs w:val="13"/>
          <w:lang w:val="en-US" w:eastAsia="zh-CN"/>
        </w:rPr>
      </w:pPr>
      <w:r>
        <w:rPr>
          <w:rFonts w:hint="eastAsia" w:ascii="Arial" w:hAnsi="Arial" w:eastAsia="Arial Unicode MS" w:cs="Arial"/>
          <w:b/>
          <w:i/>
          <w:sz w:val="13"/>
          <w:szCs w:val="13"/>
        </w:rPr>
        <w:t>Diagnostic Brain Medicine</w:t>
      </w:r>
      <w:r>
        <w:rPr>
          <w:rFonts w:ascii="Arial" w:hAnsi="Arial" w:eastAsia="Arial Unicode MS" w:cs="Arial"/>
          <w:sz w:val="13"/>
          <w:szCs w:val="13"/>
        </w:rPr>
        <w:t xml:space="preserve"> </w:t>
      </w:r>
      <w:r>
        <w:rPr>
          <w:rFonts w:hint="eastAsia" w:ascii="Arial" w:hAnsi="Arial" w:eastAsia="Arial Unicode MS" w:cs="Arial"/>
          <w:b/>
          <w:i/>
          <w:sz w:val="13"/>
          <w:szCs w:val="13"/>
          <w:lang w:val="en-US" w:eastAsia="zh-CN"/>
        </w:rPr>
        <w:t>2020</w:t>
      </w:r>
      <w:r>
        <w:rPr>
          <w:rFonts w:ascii="Arial" w:hAnsi="Arial" w:eastAsia="Arial Unicode MS" w:cs="Arial"/>
          <w:b/>
          <w:i/>
          <w:sz w:val="13"/>
          <w:szCs w:val="13"/>
        </w:rPr>
        <w:t>; 1(</w:t>
      </w:r>
      <w:r>
        <w:rPr>
          <w:rFonts w:hint="eastAsia" w:ascii="Arial" w:hAnsi="Arial" w:eastAsia="Arial Unicode MS" w:cs="Arial"/>
          <w:b/>
          <w:i/>
          <w:sz w:val="13"/>
          <w:szCs w:val="13"/>
          <w:lang w:val="en-US" w:eastAsia="zh-CN"/>
        </w:rPr>
        <w:t>1</w:t>
      </w:r>
      <w:r>
        <w:rPr>
          <w:rFonts w:ascii="Arial" w:hAnsi="Arial" w:eastAsia="Arial Unicode MS" w:cs="Arial"/>
          <w:b/>
          <w:i/>
          <w:sz w:val="13"/>
          <w:szCs w:val="13"/>
        </w:rPr>
        <w:t xml:space="preserve">): </w:t>
      </w:r>
      <w:r>
        <w:rPr>
          <w:rFonts w:hint="eastAsia" w:ascii="Arial" w:hAnsi="Arial" w:eastAsia="Arial Unicode MS" w:cs="Arial"/>
          <w:b/>
          <w:i/>
          <w:sz w:val="13"/>
          <w:szCs w:val="13"/>
          <w:lang w:val="en-US" w:eastAsia="zh-CN"/>
        </w:rPr>
        <w:t>32-37</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Arial" w:hAnsi="Arial" w:eastAsia="Arial Unicode MS" w:cs="Arial"/>
          <w:b/>
          <w:i/>
          <w:sz w:val="13"/>
          <w:szCs w:val="13"/>
          <w:lang w:val="en-US" w:eastAsia="zh-CN"/>
        </w:rPr>
      </w:pP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18"/>
          <w:szCs w:val="18"/>
        </w:rPr>
      </w:pPr>
      <w:r>
        <w:rPr>
          <w:rFonts w:hint="eastAsia" w:ascii="Arial" w:hAnsi="Arial" w:eastAsia="Arial Unicode MS" w:cs="Arial"/>
          <w:b/>
          <w:i/>
          <w:sz w:val="13"/>
          <w:szCs w:val="13"/>
          <w:lang w:val="en-US" w:eastAsia="zh-CN"/>
        </w:rPr>
        <w:br w:type="column"/>
      </w:r>
      <w:r>
        <w:rPr>
          <w:rFonts w:hint="default" w:ascii="Times New Roman" w:hAnsi="Times New Roman" w:cs="Times New Roman"/>
          <w:b/>
          <w:bCs/>
          <w:sz w:val="18"/>
          <w:szCs w:val="18"/>
        </w:rPr>
        <w:t>Abstract</w:t>
      </w:r>
    </w:p>
    <w:p>
      <w:pPr>
        <w:keepNext w:val="0"/>
        <w:keepLines w:val="0"/>
        <w:pageBreakBefore w:val="0"/>
        <w:widowControl/>
        <w:kinsoku/>
        <w:wordWrap/>
        <w:overflowPunct/>
        <w:topLinePunct w:val="0"/>
        <w:autoSpaceDE/>
        <w:autoSpaceDN/>
        <w:bidi w:val="0"/>
        <w:adjustRightInd/>
        <w:snapToGrid/>
        <w:spacing w:after="625" w:afterLines="200"/>
        <w:jc w:val="both"/>
        <w:textAlignment w:val="auto"/>
        <w:rPr>
          <w:rFonts w:hint="default" w:ascii="Times New Roman" w:hAnsi="Times New Roman" w:cs="Times New Roman"/>
          <w:sz w:val="18"/>
          <w:szCs w:val="18"/>
        </w:rPr>
      </w:pPr>
      <w:r>
        <w:rPr>
          <w:rFonts w:hint="default" w:ascii="Times New Roman" w:hAnsi="Times New Roman" w:cs="Times New Roman"/>
          <w:b/>
          <w:bCs/>
          <w:sz w:val="18"/>
          <w:szCs w:val="18"/>
        </w:rPr>
        <w:t xml:space="preserve">Objective </w:t>
      </w:r>
      <w:r>
        <w:rPr>
          <w:rFonts w:hint="default" w:ascii="Times New Roman" w:hAnsi="Times New Roman" w:cs="Times New Roman"/>
          <w:sz w:val="18"/>
          <w:szCs w:val="18"/>
        </w:rPr>
        <w:t>To analyze the</w:t>
      </w:r>
      <w:r>
        <w:rPr>
          <w:rFonts w:hint="default" w:ascii="Times New Roman" w:hAnsi="Times New Roman" w:cs="Times New Roman"/>
          <w:b/>
          <w:bCs/>
          <w:sz w:val="18"/>
          <w:szCs w:val="18"/>
        </w:rPr>
        <w:t xml:space="preserve"> </w:t>
      </w:r>
      <w:r>
        <w:rPr>
          <w:rFonts w:hint="default" w:ascii="Times New Roman" w:hAnsi="Times New Roman" w:cs="Times New Roman"/>
          <w:sz w:val="18"/>
          <w:szCs w:val="18"/>
        </w:rPr>
        <w:t>therapeutic effect of lipoic acid injection on patients with cerebral infarction and its effects on inflammatory factors and oxidative stress.</w:t>
      </w:r>
      <w:r>
        <w:rPr>
          <w:rFonts w:hint="default" w:ascii="Times New Roman" w:hAnsi="Times New Roman" w:cs="Times New Roman"/>
          <w:b/>
          <w:bCs/>
          <w:sz w:val="18"/>
          <w:szCs w:val="18"/>
        </w:rPr>
        <w:t xml:space="preserve"> Methods </w:t>
      </w:r>
      <w:r>
        <w:rPr>
          <w:rFonts w:hint="default" w:ascii="Times New Roman" w:hAnsi="Times New Roman" w:cs="Times New Roman"/>
          <w:sz w:val="18"/>
          <w:szCs w:val="18"/>
        </w:rPr>
        <w:t xml:space="preserve">A total of 110 patients with cerebral infarction who were treated in our hospital from </w:t>
      </w:r>
      <w:r>
        <w:rPr>
          <w:rFonts w:hint="default" w:ascii="Times New Roman" w:hAnsi="Times New Roman" w:cs="Times New Roman"/>
          <w:color w:val="000000" w:themeColor="text1"/>
          <w:sz w:val="18"/>
          <w:szCs w:val="18"/>
          <w14:textFill>
            <w14:solidFill>
              <w14:schemeClr w14:val="tx1"/>
            </w14:solidFill>
          </w14:textFill>
        </w:rPr>
        <w:t>June 2018 to June 2020</w:t>
      </w:r>
      <w:r>
        <w:rPr>
          <w:rFonts w:hint="default" w:ascii="Times New Roman" w:hAnsi="Times New Roman" w:cs="Times New Roman"/>
          <w:color w:val="FF0000"/>
          <w:sz w:val="18"/>
          <w:szCs w:val="18"/>
        </w:rPr>
        <w:t xml:space="preserve"> </w:t>
      </w:r>
      <w:r>
        <w:rPr>
          <w:rFonts w:hint="default" w:ascii="Times New Roman" w:hAnsi="Times New Roman" w:cs="Times New Roman"/>
          <w:sz w:val="18"/>
          <w:szCs w:val="18"/>
        </w:rPr>
        <w:t>were selected as the research subjects. All the 110 patients were randomly divided into observation group (n=55) and control group (n=55) according to the random number table method. The patients in the control group were treated with routine therapy, while those in the observation group were treated with lipoic acid injection on the basis of the control group. The clinical efficacy, levels of inflammatory factors [interleukin-6 (IL-6), interleukin-8 (IL-8), soluble intercellular adhesion molecule-1 (sICAM-1)] and oxidative stress indexes [total antioxidant capacity (T-AOC), malondialdehyde (MDA)] were compared between the two groups.</w:t>
      </w:r>
      <w:r>
        <w:rPr>
          <w:rFonts w:hint="default" w:ascii="Times New Roman" w:hAnsi="Times New Roman" w:cs="Times New Roman"/>
          <w:b/>
          <w:bCs/>
          <w:color w:val="FF0000"/>
          <w:sz w:val="18"/>
          <w:szCs w:val="18"/>
        </w:rPr>
        <w:t xml:space="preserve"> </w:t>
      </w:r>
      <w:r>
        <w:rPr>
          <w:rFonts w:hint="default" w:ascii="Times New Roman" w:hAnsi="Times New Roman" w:cs="Times New Roman"/>
          <w:b/>
          <w:bCs/>
          <w:sz w:val="18"/>
          <w:szCs w:val="18"/>
        </w:rPr>
        <w:t>Results</w:t>
      </w:r>
      <w:r>
        <w:rPr>
          <w:rFonts w:hint="default" w:ascii="Times New Roman" w:hAnsi="Times New Roman" w:cs="Times New Roman"/>
          <w:sz w:val="18"/>
          <w:szCs w:val="18"/>
        </w:rPr>
        <w:t xml:space="preserve"> The total effective rate of the observation group was significantly higher than that of the control group (</w:t>
      </w:r>
      <w:r>
        <w:rPr>
          <w:rFonts w:hint="default" w:ascii="Times New Roman" w:hAnsi="Times New Roman" w:cs="Times New Roman"/>
          <w:i/>
          <w:iCs/>
          <w:sz w:val="18"/>
          <w:szCs w:val="18"/>
        </w:rPr>
        <w:t>P</w:t>
      </w:r>
      <w:r>
        <w:rPr>
          <w:rFonts w:hint="default" w:ascii="Times New Roman" w:hAnsi="Times New Roman" w:cs="Times New Roman"/>
          <w:sz w:val="18"/>
          <w:szCs w:val="18"/>
        </w:rPr>
        <w:t>&lt;0.05). After treatment, the levels of IL-6, IL-8 and sICAM-1 in the two groups were significantly lower than those before treatment (</w:t>
      </w:r>
      <w:r>
        <w:rPr>
          <w:rFonts w:hint="default" w:ascii="Times New Roman" w:hAnsi="Times New Roman" w:cs="Times New Roman"/>
          <w:i/>
          <w:iCs/>
          <w:sz w:val="18"/>
          <w:szCs w:val="18"/>
        </w:rPr>
        <w:t>P</w:t>
      </w:r>
      <w:r>
        <w:rPr>
          <w:rFonts w:hint="default" w:ascii="Times New Roman" w:hAnsi="Times New Roman" w:cs="Times New Roman"/>
          <w:sz w:val="18"/>
          <w:szCs w:val="18"/>
        </w:rPr>
        <w:t>&lt;0.05), and the levels of IL-6, IL-8 and sICAM-1 were greatly lower in the observation group than those in the control group (</w:t>
      </w:r>
      <w:r>
        <w:rPr>
          <w:rFonts w:hint="default" w:ascii="Times New Roman" w:hAnsi="Times New Roman" w:cs="Times New Roman"/>
          <w:i/>
          <w:iCs/>
          <w:sz w:val="18"/>
          <w:szCs w:val="18"/>
        </w:rPr>
        <w:t>P</w:t>
      </w:r>
      <w:r>
        <w:rPr>
          <w:rFonts w:hint="default" w:ascii="Times New Roman" w:hAnsi="Times New Roman" w:cs="Times New Roman"/>
          <w:sz w:val="18"/>
          <w:szCs w:val="18"/>
        </w:rPr>
        <w:t>&lt;0.05). Also, after treatment, the level of T-AOC (</w:t>
      </w:r>
      <w:r>
        <w:rPr>
          <w:rFonts w:hint="default" w:ascii="Times New Roman" w:hAnsi="Times New Roman" w:cs="Times New Roman"/>
          <w:i/>
          <w:iCs/>
          <w:sz w:val="18"/>
          <w:szCs w:val="18"/>
        </w:rPr>
        <w:t>P</w:t>
      </w:r>
      <w:r>
        <w:rPr>
          <w:rFonts w:hint="default" w:ascii="Times New Roman" w:hAnsi="Times New Roman" w:cs="Times New Roman"/>
          <w:sz w:val="18"/>
          <w:szCs w:val="18"/>
        </w:rPr>
        <w:t>&lt;0.05) and MAD (</w:t>
      </w:r>
      <w:r>
        <w:rPr>
          <w:rFonts w:hint="default" w:ascii="Times New Roman" w:hAnsi="Times New Roman" w:cs="Times New Roman"/>
          <w:i/>
          <w:iCs/>
          <w:sz w:val="18"/>
          <w:szCs w:val="18"/>
        </w:rPr>
        <w:t>P</w:t>
      </w:r>
      <w:r>
        <w:rPr>
          <w:rFonts w:hint="default" w:ascii="Times New Roman" w:hAnsi="Times New Roman" w:cs="Times New Roman"/>
          <w:sz w:val="18"/>
          <w:szCs w:val="18"/>
        </w:rPr>
        <w:t>&lt;0.05) in the two groups were significantly higher and lower than those before treatment (</w:t>
      </w:r>
      <w:r>
        <w:rPr>
          <w:rFonts w:hint="default" w:ascii="Times New Roman" w:hAnsi="Times New Roman" w:cs="Times New Roman"/>
          <w:i/>
          <w:iCs/>
          <w:sz w:val="18"/>
          <w:szCs w:val="18"/>
        </w:rPr>
        <w:t>P</w:t>
      </w:r>
      <w:r>
        <w:rPr>
          <w:rFonts w:hint="default" w:ascii="Times New Roman" w:hAnsi="Times New Roman" w:cs="Times New Roman"/>
          <w:sz w:val="18"/>
          <w:szCs w:val="18"/>
        </w:rPr>
        <w:t>&lt;0.05), respectively. Noticeably, the levels of T-AOC (</w:t>
      </w:r>
      <w:r>
        <w:rPr>
          <w:rFonts w:hint="default" w:ascii="Times New Roman" w:hAnsi="Times New Roman" w:cs="Times New Roman"/>
          <w:i/>
          <w:iCs/>
          <w:sz w:val="18"/>
          <w:szCs w:val="18"/>
        </w:rPr>
        <w:t>P</w:t>
      </w:r>
      <w:r>
        <w:rPr>
          <w:rFonts w:hint="default" w:ascii="Times New Roman" w:hAnsi="Times New Roman" w:cs="Times New Roman"/>
          <w:sz w:val="18"/>
          <w:szCs w:val="18"/>
        </w:rPr>
        <w:t>&lt;0.05) and MDA (</w:t>
      </w:r>
      <w:r>
        <w:rPr>
          <w:rFonts w:hint="default" w:ascii="Times New Roman" w:hAnsi="Times New Roman" w:cs="Times New Roman"/>
          <w:i/>
          <w:iCs/>
          <w:sz w:val="18"/>
          <w:szCs w:val="18"/>
        </w:rPr>
        <w:t>P</w:t>
      </w:r>
      <w:r>
        <w:rPr>
          <w:rFonts w:hint="default" w:ascii="Times New Roman" w:hAnsi="Times New Roman" w:cs="Times New Roman"/>
          <w:sz w:val="18"/>
          <w:szCs w:val="18"/>
        </w:rPr>
        <w:t>&lt;0.05) were greatly higher and lower in the observation group than those in the control group, respectively.</w:t>
      </w:r>
      <w:r>
        <w:rPr>
          <w:rFonts w:hint="default" w:ascii="Times New Roman" w:hAnsi="Times New Roman" w:cs="Times New Roman"/>
          <w:b/>
          <w:bCs/>
          <w:sz w:val="18"/>
          <w:szCs w:val="18"/>
        </w:rPr>
        <w:t xml:space="preserve"> Conclusion</w:t>
      </w:r>
      <w:r>
        <w:rPr>
          <w:rFonts w:hint="default" w:ascii="Times New Roman" w:hAnsi="Times New Roman" w:cs="Times New Roman"/>
          <w:sz w:val="18"/>
          <w:szCs w:val="18"/>
        </w:rPr>
        <w:t xml:space="preserve"> Lipoic acid injection was effective in treating patients with cerebral infarction, as it could not only reduce the release of inflammatory factors, but also improve the oxidative stress response of the body and promote the recovery of brain tissues.</w:t>
      </w:r>
    </w:p>
    <w:p>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cs="Times New Roman"/>
          <w:b/>
          <w:bCs/>
          <w:sz w:val="18"/>
          <w:szCs w:val="18"/>
          <w:lang w:val="en-US" w:eastAsia="zh-CN"/>
        </w:rPr>
        <w:sectPr>
          <w:headerReference r:id="rId10" w:type="first"/>
          <w:footerReference r:id="rId12" w:type="first"/>
          <w:headerReference r:id="rId9" w:type="even"/>
          <w:footerReference r:id="rId11" w:type="even"/>
          <w:type w:val="continuous"/>
          <w:pgSz w:w="11906" w:h="16838"/>
          <w:pgMar w:top="1440" w:right="1800" w:bottom="1440" w:left="1800" w:header="851" w:footer="992" w:gutter="0"/>
          <w:pgNumType w:fmt="decimal"/>
          <w:cols w:equalWidth="0" w:num="2">
            <w:col w:w="2484" w:space="427"/>
            <w:col w:w="5395"/>
          </w:cols>
          <w:titlePg/>
          <w:docGrid w:type="lines" w:linePitch="312" w:charSpace="0"/>
        </w:sectPr>
      </w:pPr>
    </w:p>
    <w:p>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Introduction</w:t>
      </w:r>
    </w:p>
    <w:p>
      <w:pPr>
        <w:keepNext w:val="0"/>
        <w:keepLines w:val="0"/>
        <w:pageBreakBefore w:val="0"/>
        <w:kinsoku/>
        <w:wordWrap/>
        <w:overflowPunct/>
        <w:topLinePunct w:val="0"/>
        <w:autoSpaceDE/>
        <w:autoSpaceDN/>
        <w:bidi w:val="0"/>
        <w:adjustRightInd/>
        <w:snapToGrid/>
        <w:spacing w:line="240" w:lineRule="auto"/>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Cerebral infarction, also known as ischemic stroke, will result in brain blood circulation disorders, causing brain tissue ischemia, hypoxic necrosis or softening. Patients with cerebral infarction may appear coma, hemiplegia, language difficulties, and other nervous system functions that seriously affect the life quality of patients [1]. At present, the clinical treatments of patients with cerebral infarction are mainly conventional treatments such as improvement of cerebral blood circulation and anti-infection. Although these methods have shown great effect during clinical practice, the incidence of adverse drug reactions is still high [2], thus, it is necessary to explore more effective therapeutic drugs for the management of patients with cerebral infarction. As a strong antioxidant, lipoic acid can significantly attenuate the symptoms of cerebral edema in rats and the apoptosis of nerve cells to improve the nerve function of the rats [3]. In order to further explore the role of lipoic acid in patients with cerebral infarction, this study applied lipoic acid injection therapy on the basis of conventional treatment, aiming to improve the quality of clinical treatment and the prognosis of patients with cerebral infraction. The results of the study are reported as follows</w:t>
      </w:r>
      <w:r>
        <w:rPr>
          <w:rFonts w:hint="eastAsia" w:ascii="Times New Roman" w:hAnsi="Times New Roman" w:cs="Times New Roman"/>
          <w:sz w:val="18"/>
          <w:szCs w:val="18"/>
          <w:lang w:val="en-US" w:eastAsia="zh-CN"/>
        </w:rPr>
        <w:t>.</w:t>
      </w:r>
    </w:p>
    <w:p>
      <w:pPr>
        <w:keepNext w:val="0"/>
        <w:keepLines w:val="0"/>
        <w:pageBreakBefore w:val="0"/>
        <w:widowControl/>
        <w:kinsoku/>
        <w:wordWrap/>
        <w:overflowPunct/>
        <w:topLinePunct w:val="0"/>
        <w:autoSpaceDE/>
        <w:autoSpaceDN/>
        <w:bidi w:val="0"/>
        <w:adjustRightInd/>
        <w:snapToGrid/>
        <w:jc w:val="both"/>
        <w:textAlignment w:val="auto"/>
        <w:rPr>
          <w:rFonts w:hint="eastAsia" w:ascii="Times New Roman" w:hAnsi="Times New Roman" w:cs="Times New Roman"/>
          <w:b/>
          <w:bCs/>
          <w:sz w:val="18"/>
          <w:szCs w:val="18"/>
          <w:lang w:val="en-US" w:eastAsia="zh-CN"/>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Materials and methods</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General information</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b/>
          <w:sz w:val="18"/>
          <w:szCs w:val="18"/>
        </w:rPr>
        <w:t>The research subjects</w:t>
      </w:r>
      <w:r>
        <w:rPr>
          <w:rFonts w:hint="default" w:ascii="Times New Roman" w:hAnsi="Times New Roman" w:cs="Times New Roman"/>
          <w:sz w:val="18"/>
          <w:szCs w:val="18"/>
        </w:rPr>
        <w:t xml:space="preserve"> </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The 110 patients with cerebral infarction who were treated in our hospital from June 2018 to June 2020 were selected as the research objects, and they were divided into observation group and control group by random number table method, with each group containing 55 cases. In the control group, there were 27 male cases and 28 female cases aged 50-75 years old, with an average age of 63.24±7.55 years old and time from onset to consultation of 2-18 hours (average time of 12.30±4.16 hours). In observation group, there were 29 male patients and 26 female patients aged between 50 and 75 years old, with an average age of 62.78±7.38 years old and time from onset to consultation of 3-20 hours (average time of 12.98±4.72 hours). This study was approved by the Medical Rthics Committee of our hospital. All the patients volunteered to participate in the study and signed informed consent. The two groups of patients were not statistically different in gender, age, or time from onset to consultation (P&gt;0.05), thus, the data of the patients were comparable.</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Inclusion and exclusion criteria</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Inclusion criteria: patients diagnosed with cerebral infarction after clinical diagnosis [4]. Exclusion criteria: those who fall into a coma and cannot cooperate with treatment; those who have serious diseases in important organs such as heart, liver, and kidney; those who have had brain diseases such as brain tumors, brain trauma, and cerebral hemorrhage; those who were allergic to the drugs used in this study.</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b/>
          <w:sz w:val="18"/>
          <w:szCs w:val="18"/>
        </w:rPr>
        <w:t>Methods</w:t>
      </w:r>
      <w:r>
        <w:rPr>
          <w:rFonts w:hint="default" w:ascii="Times New Roman" w:hAnsi="Times New Roman" w:cs="Times New Roman"/>
          <w:sz w:val="18"/>
          <w:szCs w:val="18"/>
        </w:rPr>
        <w:t xml:space="preserve"> </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①</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Control group: application of conventional treatments such as lowering intracranial pressure, regulating blood pressure, maintaining water and electrolyte balance, antiplatelet, improving blood circulation and anti-infection; ②</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observation group: application of intravenous infusion of lipoic acid on the basis of control group (250 mg of lipoic acid mixed with 100 ml of normal saline). The injection was performed once a day for a total of 4 weeks of treatment.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b/>
          <w:sz w:val="18"/>
          <w:szCs w:val="18"/>
        </w:rPr>
        <w:t>Clinical efficacy</w:t>
      </w:r>
      <w:r>
        <w:rPr>
          <w:rFonts w:hint="default" w:ascii="Times New Roman" w:hAnsi="Times New Roman" w:cs="Times New Roman"/>
          <w:sz w:val="18"/>
          <w:szCs w:val="18"/>
        </w:rPr>
        <w:t xml:space="preserve"> </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The National Institutes of Health Stroke Scale (NIHSS) was employed to evaluate the degree of neurological deficits [5]. According to the degree of decrease in the NIHSS scores before and after treatment, the clinical efficacy was divided into four categories, namely, cured (the patient’s NIHSS score drops &gt;90%), markedly effective (the patient’s NIHSS score drops between 46~91%), effective (the patient’s NIHSS score drops between 18~45%) and ineffective (the patient’s NIHSS score drops &lt;18%). The total Effective rate = (cured + markedly effective + effective) number of cases / total number of cases × 100%.</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Observation indicators</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Before and after treatment, 5 ml of venous blood was collected from all the patients in a fasting state in the early morning, and the serum was separated after centrifugation to detect the level of inflammatory factors and evaluate the antioxidant capacity of the patients. For inflammatory factors, enzyme-linked immunosorbent method assay (ELISA) was performed to detect the serum levels of interleukin-6 (IL-6), interleukin-8 (IL-8), and soluble intercellular adhesion molecule-1 (sICAM-1). For oxidative stress indicators, O-phenanthroline colorimetry and the thiobarbituric acid colorimetric method were used to determine the serum levels of total antioxidant capacity (T-AOC) and malondialdehyde (MDA).</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b/>
          <w:sz w:val="18"/>
          <w:szCs w:val="18"/>
        </w:rPr>
        <w:t>Statistical methods</w:t>
      </w:r>
      <w:r>
        <w:rPr>
          <w:rFonts w:hint="default" w:ascii="Times New Roman" w:hAnsi="Times New Roman" w:cs="Times New Roman"/>
          <w:sz w:val="18"/>
          <w:szCs w:val="18"/>
        </w:rPr>
        <w:t xml:space="preserve"> </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SPSS 20.0 was used for statistical analysis. The count data were compared by 2 test, and the measurement data were expressed by mean ± standard deviation (¯x±s). The data comparison was conducted using t test, and P&lt;0.05 was considered as statistically significant.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Results</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sectPr>
          <w:footerReference r:id="rId13" w:type="default"/>
          <w:footerReference r:id="rId14" w:type="even"/>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r>
        <w:rPr>
          <w:rFonts w:hint="default" w:ascii="Times New Roman" w:hAnsi="Times New Roman" w:cs="Times New Roman"/>
          <w:b/>
          <w:sz w:val="18"/>
          <w:szCs w:val="18"/>
        </w:rPr>
        <w:t xml:space="preserve">Comparison of clinical efficacy between the two groups </w:t>
      </w:r>
      <w:r>
        <w:rPr>
          <w:rFonts w:hint="default" w:ascii="Times New Roman" w:hAnsi="Times New Roman" w:cs="Times New Roman"/>
          <w:sz w:val="18"/>
          <w:szCs w:val="18"/>
        </w:rPr>
        <w:t>The total effective rate of the observation group was 94.55%, and that of the control group was 72.73%. The total effective rate of the observation group was significantly higher than that of the control group (P&lt;0.05), see Table 1.</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Table 1 Comparison of clinical efficacy between the two groups [n(%)]</w:t>
      </w:r>
    </w:p>
    <w:tbl>
      <w:tblPr>
        <w:tblStyle w:val="5"/>
        <w:tblW w:w="5000" w:type="pct"/>
        <w:jc w:val="center"/>
        <w:tblLayout w:type="autofit"/>
        <w:tblCellMar>
          <w:top w:w="15" w:type="dxa"/>
          <w:left w:w="15" w:type="dxa"/>
          <w:bottom w:w="15" w:type="dxa"/>
          <w:right w:w="15" w:type="dxa"/>
        </w:tblCellMar>
      </w:tblPr>
      <w:tblGrid>
        <w:gridCol w:w="1189"/>
        <w:gridCol w:w="1191"/>
        <w:gridCol w:w="1191"/>
        <w:gridCol w:w="1191"/>
        <w:gridCol w:w="1191"/>
        <w:gridCol w:w="1191"/>
        <w:gridCol w:w="1192"/>
      </w:tblGrid>
      <w:tr>
        <w:tblPrEx>
          <w:tblCellMar>
            <w:top w:w="15" w:type="dxa"/>
            <w:left w:w="15" w:type="dxa"/>
            <w:bottom w:w="15" w:type="dxa"/>
            <w:right w:w="15" w:type="dxa"/>
          </w:tblCellMar>
        </w:tblPrEx>
        <w:trPr>
          <w:trHeight w:val="198" w:hRule="atLeast"/>
          <w:jc w:val="center"/>
        </w:trPr>
        <w:tc>
          <w:tcPr>
            <w:tcW w:w="713" w:type="pct"/>
            <w:tcBorders>
              <w:top w:val="single" w:color="auto" w:sz="12" w:space="0"/>
              <w:left w:val="nil"/>
              <w:bottom w:val="single" w:color="auto" w:sz="6"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Groups</w:t>
            </w:r>
          </w:p>
        </w:tc>
        <w:tc>
          <w:tcPr>
            <w:tcW w:w="714" w:type="pct"/>
            <w:tcBorders>
              <w:top w:val="single" w:color="auto" w:sz="12" w:space="0"/>
              <w:left w:val="nil"/>
              <w:bottom w:val="single" w:color="auto" w:sz="6"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Cases</w:t>
            </w:r>
          </w:p>
        </w:tc>
        <w:tc>
          <w:tcPr>
            <w:tcW w:w="714" w:type="pct"/>
            <w:tcBorders>
              <w:top w:val="single" w:color="auto" w:sz="12" w:space="0"/>
              <w:left w:val="nil"/>
              <w:bottom w:val="single" w:color="auto" w:sz="6"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Cured</w:t>
            </w:r>
          </w:p>
        </w:tc>
        <w:tc>
          <w:tcPr>
            <w:tcW w:w="714" w:type="pct"/>
            <w:tcBorders>
              <w:top w:val="single" w:color="auto" w:sz="12" w:space="0"/>
              <w:left w:val="nil"/>
              <w:bottom w:val="single" w:color="auto" w:sz="6"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Markedly effective</w:t>
            </w:r>
          </w:p>
        </w:tc>
        <w:tc>
          <w:tcPr>
            <w:tcW w:w="714" w:type="pct"/>
            <w:tcBorders>
              <w:top w:val="single" w:color="auto" w:sz="12" w:space="0"/>
              <w:left w:val="nil"/>
              <w:bottom w:val="single" w:color="auto" w:sz="6"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Effective</w:t>
            </w:r>
          </w:p>
        </w:tc>
        <w:tc>
          <w:tcPr>
            <w:tcW w:w="714" w:type="pct"/>
            <w:tcBorders>
              <w:top w:val="single" w:color="auto" w:sz="12" w:space="0"/>
              <w:left w:val="nil"/>
              <w:bottom w:val="single" w:color="auto" w:sz="6" w:space="0"/>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Ineffective</w:t>
            </w:r>
          </w:p>
        </w:tc>
        <w:tc>
          <w:tcPr>
            <w:tcW w:w="714" w:type="pct"/>
            <w:tcBorders>
              <w:top w:val="single" w:color="auto" w:sz="12" w:space="0"/>
              <w:left w:val="nil"/>
              <w:bottom w:val="single" w:color="auto" w:sz="6" w:space="0"/>
              <w:right w:val="nil"/>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Total effective rate</w:t>
            </w:r>
          </w:p>
        </w:tc>
      </w:tr>
      <w:tr>
        <w:tblPrEx>
          <w:tblCellMar>
            <w:top w:w="15" w:type="dxa"/>
            <w:left w:w="15" w:type="dxa"/>
            <w:bottom w:w="15" w:type="dxa"/>
            <w:right w:w="15" w:type="dxa"/>
          </w:tblCellMar>
        </w:tblPrEx>
        <w:trPr>
          <w:trHeight w:val="228" w:hRule="atLeast"/>
          <w:jc w:val="center"/>
        </w:trPr>
        <w:tc>
          <w:tcPr>
            <w:tcW w:w="713" w:type="pct"/>
            <w:tcBorders>
              <w:top w:val="single" w:color="auto" w:sz="6"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Observation group</w:t>
            </w:r>
          </w:p>
        </w:tc>
        <w:tc>
          <w:tcPr>
            <w:tcW w:w="714" w:type="pct"/>
            <w:tcBorders>
              <w:top w:val="single" w:color="auto" w:sz="6"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55</w:t>
            </w:r>
          </w:p>
        </w:tc>
        <w:tc>
          <w:tcPr>
            <w:tcW w:w="714" w:type="pct"/>
            <w:tcBorders>
              <w:top w:val="single" w:color="auto" w:sz="6"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24（43.64）</w:t>
            </w:r>
          </w:p>
        </w:tc>
        <w:tc>
          <w:tcPr>
            <w:tcW w:w="714" w:type="pct"/>
            <w:tcBorders>
              <w:top w:val="single" w:color="auto" w:sz="6" w:space="0"/>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15（27.27）</w:t>
            </w:r>
          </w:p>
        </w:tc>
        <w:tc>
          <w:tcPr>
            <w:tcW w:w="714" w:type="pct"/>
            <w:tcBorders>
              <w:top w:val="single" w:color="auto" w:sz="6" w:space="0"/>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13（18.18）</w:t>
            </w:r>
          </w:p>
        </w:tc>
        <w:tc>
          <w:tcPr>
            <w:tcW w:w="714" w:type="pct"/>
            <w:tcBorders>
              <w:top w:val="single" w:color="auto" w:sz="6" w:space="0"/>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3（5.45）</w:t>
            </w:r>
          </w:p>
        </w:tc>
        <w:tc>
          <w:tcPr>
            <w:tcW w:w="714" w:type="pct"/>
            <w:tcBorders>
              <w:top w:val="single" w:color="auto" w:sz="6" w:space="0"/>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52（94.55）</w:t>
            </w:r>
          </w:p>
        </w:tc>
      </w:tr>
      <w:tr>
        <w:tblPrEx>
          <w:tblCellMar>
            <w:top w:w="15" w:type="dxa"/>
            <w:left w:w="15" w:type="dxa"/>
            <w:bottom w:w="15" w:type="dxa"/>
            <w:right w:w="15" w:type="dxa"/>
          </w:tblCellMar>
        </w:tblPrEx>
        <w:trPr>
          <w:trHeight w:val="228" w:hRule="atLeast"/>
          <w:jc w:val="center"/>
        </w:trPr>
        <w:tc>
          <w:tcPr>
            <w:tcW w:w="713"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Control Group</w:t>
            </w:r>
          </w:p>
        </w:tc>
        <w:tc>
          <w:tcPr>
            <w:tcW w:w="714"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55</w:t>
            </w:r>
          </w:p>
        </w:tc>
        <w:tc>
          <w:tcPr>
            <w:tcW w:w="714"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12（21.82）</w:t>
            </w: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20（36.36）</w:t>
            </w: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8（14.55）</w:t>
            </w: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15（27.27）</w:t>
            </w: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40（72.73）</w:t>
            </w:r>
          </w:p>
        </w:tc>
      </w:tr>
      <w:tr>
        <w:tblPrEx>
          <w:tblCellMar>
            <w:top w:w="15" w:type="dxa"/>
            <w:left w:w="15" w:type="dxa"/>
            <w:bottom w:w="15" w:type="dxa"/>
            <w:right w:w="15" w:type="dxa"/>
          </w:tblCellMar>
        </w:tblPrEx>
        <w:trPr>
          <w:trHeight w:val="403" w:hRule="atLeast"/>
          <w:jc w:val="center"/>
        </w:trPr>
        <w:tc>
          <w:tcPr>
            <w:tcW w:w="713"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i/>
                <w:iCs/>
                <w:sz w:val="18"/>
                <w:szCs w:val="18"/>
              </w:rPr>
              <w:t>c</w:t>
            </w:r>
            <w:r>
              <w:rPr>
                <w:rFonts w:hint="default" w:ascii="Times New Roman" w:hAnsi="Times New Roman" w:cs="Times New Roman"/>
                <w:i/>
                <w:iCs/>
                <w:sz w:val="18"/>
                <w:szCs w:val="18"/>
                <w:vertAlign w:val="superscript"/>
              </w:rPr>
              <w:t>2</w:t>
            </w:r>
          </w:p>
        </w:tc>
        <w:tc>
          <w:tcPr>
            <w:tcW w:w="714"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p>
        </w:tc>
        <w:tc>
          <w:tcPr>
            <w:tcW w:w="714"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nil"/>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9.565</w:t>
            </w:r>
          </w:p>
        </w:tc>
      </w:tr>
      <w:tr>
        <w:tblPrEx>
          <w:tblCellMar>
            <w:top w:w="15" w:type="dxa"/>
            <w:left w:w="15" w:type="dxa"/>
            <w:bottom w:w="15" w:type="dxa"/>
            <w:right w:w="15" w:type="dxa"/>
          </w:tblCellMar>
        </w:tblPrEx>
        <w:trPr>
          <w:trHeight w:val="136" w:hRule="atLeast"/>
          <w:jc w:val="center"/>
        </w:trPr>
        <w:tc>
          <w:tcPr>
            <w:tcW w:w="713" w:type="pct"/>
            <w:tcBorders>
              <w:top w:val="nil"/>
              <w:left w:val="nil"/>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P</w:t>
            </w:r>
          </w:p>
        </w:tc>
        <w:tc>
          <w:tcPr>
            <w:tcW w:w="714" w:type="pct"/>
            <w:tcBorders>
              <w:top w:val="nil"/>
              <w:left w:val="nil"/>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b/>
                <w:bCs/>
                <w:kern w:val="44"/>
                <w:sz w:val="18"/>
                <w:szCs w:val="18"/>
              </w:rPr>
            </w:pPr>
          </w:p>
        </w:tc>
        <w:tc>
          <w:tcPr>
            <w:tcW w:w="714"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single" w:color="auto" w:sz="12" w:space="0"/>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single" w:color="auto" w:sz="12" w:space="0"/>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714" w:type="pct"/>
            <w:tcBorders>
              <w:top w:val="nil"/>
              <w:left w:val="nil"/>
              <w:bottom w:val="single" w:color="auto" w:sz="12" w:space="0"/>
              <w:right w:val="nil"/>
            </w:tcBorders>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0.002</w:t>
            </w:r>
          </w:p>
        </w:tc>
      </w:tr>
    </w:tbl>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sectPr>
          <w:type w:val="continuous"/>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Comparison of the levels of inflammatory factors between the two groups before and after treatment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Before treatment, there was no significant difference in the levels of IL-6, IL-8 and sICAM-1 between the two groups (P&gt;0.05). However, after treatment, the levels of IL-6, IL-8 and sICAM-1 in the two groups were significantly lower than those before treatment (P&lt;0.05), and the levels of IL-6, IL-8 and sICAM-1 in the observation group were noticeably lower than those in the control group (P&lt;0.05), see Table 2.</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sectPr>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Table 2 Comparison of the levels of inflammatory factors between the two groups before and after treatment（¯x±s）</w:t>
      </w:r>
    </w:p>
    <w:tbl>
      <w:tblPr>
        <w:tblStyle w:val="5"/>
        <w:tblW w:w="5800" w:type="pct"/>
        <w:jc w:val="center"/>
        <w:tblLayout w:type="autofit"/>
        <w:tblCellMar>
          <w:top w:w="15" w:type="dxa"/>
          <w:left w:w="15" w:type="dxa"/>
          <w:bottom w:w="15" w:type="dxa"/>
          <w:right w:w="15" w:type="dxa"/>
        </w:tblCellMar>
      </w:tblPr>
      <w:tblGrid>
        <w:gridCol w:w="910"/>
        <w:gridCol w:w="450"/>
        <w:gridCol w:w="1029"/>
        <w:gridCol w:w="939"/>
        <w:gridCol w:w="525"/>
        <w:gridCol w:w="435"/>
        <w:gridCol w:w="1029"/>
        <w:gridCol w:w="1029"/>
        <w:gridCol w:w="525"/>
        <w:gridCol w:w="435"/>
        <w:gridCol w:w="1029"/>
        <w:gridCol w:w="1029"/>
        <w:gridCol w:w="525"/>
        <w:gridCol w:w="435"/>
      </w:tblGrid>
      <w:tr>
        <w:tblPrEx>
          <w:tblCellMar>
            <w:top w:w="15" w:type="dxa"/>
            <w:left w:w="15" w:type="dxa"/>
            <w:bottom w:w="15" w:type="dxa"/>
            <w:right w:w="15" w:type="dxa"/>
          </w:tblCellMar>
        </w:tblPrEx>
        <w:trPr>
          <w:trHeight w:val="316" w:hRule="atLeast"/>
          <w:jc w:val="center"/>
        </w:trPr>
        <w:tc>
          <w:tcPr>
            <w:tcW w:w="378" w:type="pct"/>
            <w:vMerge w:val="restart"/>
            <w:tcBorders>
              <w:top w:val="single" w:color="auto" w:sz="12"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Groups</w:t>
            </w:r>
          </w:p>
        </w:tc>
        <w:tc>
          <w:tcPr>
            <w:tcW w:w="879"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Cases</w:t>
            </w:r>
          </w:p>
        </w:tc>
        <w:tc>
          <w:tcPr>
            <w:tcW w:w="819" w:type="pct"/>
            <w:gridSpan w:val="2"/>
            <w:tcBorders>
              <w:top w:val="single" w:color="auto" w:sz="12"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IL-6 (ng/L)</w:t>
            </w:r>
          </w:p>
        </w:tc>
        <w:tc>
          <w:tcPr>
            <w:tcW w:w="220"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t</w:t>
            </w:r>
          </w:p>
        </w:tc>
        <w:tc>
          <w:tcPr>
            <w:tcW w:w="183"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P</w:t>
            </w:r>
          </w:p>
        </w:tc>
        <w:tc>
          <w:tcPr>
            <w:tcW w:w="856" w:type="pct"/>
            <w:gridSpan w:val="2"/>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IL-8 (ng/L)</w:t>
            </w:r>
          </w:p>
        </w:tc>
        <w:tc>
          <w:tcPr>
            <w:tcW w:w="220"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t</w:t>
            </w:r>
          </w:p>
        </w:tc>
        <w:tc>
          <w:tcPr>
            <w:tcW w:w="183"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P</w:t>
            </w:r>
          </w:p>
        </w:tc>
        <w:tc>
          <w:tcPr>
            <w:tcW w:w="856" w:type="pct"/>
            <w:gridSpan w:val="2"/>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sICAM-1 (ng/mL)</w:t>
            </w:r>
          </w:p>
        </w:tc>
        <w:tc>
          <w:tcPr>
            <w:tcW w:w="220"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t</w:t>
            </w:r>
          </w:p>
        </w:tc>
        <w:tc>
          <w:tcPr>
            <w:tcW w:w="183"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P</w:t>
            </w:r>
          </w:p>
        </w:tc>
      </w:tr>
      <w:tr>
        <w:tblPrEx>
          <w:tblCellMar>
            <w:top w:w="15" w:type="dxa"/>
            <w:left w:w="15" w:type="dxa"/>
            <w:bottom w:w="15" w:type="dxa"/>
            <w:right w:w="15" w:type="dxa"/>
          </w:tblCellMar>
        </w:tblPrEx>
        <w:trPr>
          <w:trHeight w:val="315" w:hRule="atLeast"/>
          <w:jc w:val="center"/>
        </w:trPr>
        <w:tc>
          <w:tcPr>
            <w:tcW w:w="378"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sz w:val="18"/>
                <w:szCs w:val="18"/>
              </w:rPr>
            </w:pPr>
          </w:p>
        </w:tc>
        <w:tc>
          <w:tcPr>
            <w:tcW w:w="879"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kern w:val="0"/>
                <w:sz w:val="18"/>
                <w:szCs w:val="18"/>
              </w:rPr>
            </w:pPr>
          </w:p>
        </w:tc>
        <w:tc>
          <w:tcPr>
            <w:tcW w:w="428"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Before treatment</w:t>
            </w:r>
          </w:p>
        </w:tc>
        <w:tc>
          <w:tcPr>
            <w:tcW w:w="391"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After treatment</w:t>
            </w:r>
          </w:p>
        </w:tc>
        <w:tc>
          <w:tcPr>
            <w:tcW w:w="220"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c>
          <w:tcPr>
            <w:tcW w:w="183"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c>
          <w:tcPr>
            <w:tcW w:w="428"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Before treatment</w:t>
            </w:r>
          </w:p>
        </w:tc>
        <w:tc>
          <w:tcPr>
            <w:tcW w:w="428"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After treatment</w:t>
            </w:r>
          </w:p>
        </w:tc>
        <w:tc>
          <w:tcPr>
            <w:tcW w:w="220"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c>
          <w:tcPr>
            <w:tcW w:w="183"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c>
          <w:tcPr>
            <w:tcW w:w="428"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Before treatment</w:t>
            </w:r>
          </w:p>
        </w:tc>
        <w:tc>
          <w:tcPr>
            <w:tcW w:w="428"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After treatment</w:t>
            </w:r>
          </w:p>
        </w:tc>
        <w:tc>
          <w:tcPr>
            <w:tcW w:w="220"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c>
          <w:tcPr>
            <w:tcW w:w="183"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r>
      <w:tr>
        <w:tblPrEx>
          <w:tblCellMar>
            <w:top w:w="15" w:type="dxa"/>
            <w:left w:w="15" w:type="dxa"/>
            <w:bottom w:w="15" w:type="dxa"/>
            <w:right w:w="15" w:type="dxa"/>
          </w:tblCellMar>
        </w:tblPrEx>
        <w:trPr>
          <w:trHeight w:val="235" w:hRule="atLeast"/>
          <w:jc w:val="center"/>
        </w:trPr>
        <w:tc>
          <w:tcPr>
            <w:tcW w:w="378" w:type="pct"/>
            <w:tcBorders>
              <w:top w:val="single" w:color="auto" w:sz="4"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Observation group</w:t>
            </w:r>
          </w:p>
        </w:tc>
        <w:tc>
          <w:tcPr>
            <w:tcW w:w="879" w:type="pct"/>
            <w:tcBorders>
              <w:top w:val="single" w:color="auto" w:sz="4"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55</w:t>
            </w:r>
          </w:p>
        </w:tc>
        <w:tc>
          <w:tcPr>
            <w:tcW w:w="428"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107.39±12.57</w:t>
            </w:r>
          </w:p>
        </w:tc>
        <w:tc>
          <w:tcPr>
            <w:tcW w:w="391"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58.42±8.34</w:t>
            </w:r>
          </w:p>
        </w:tc>
        <w:tc>
          <w:tcPr>
            <w:tcW w:w="220"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24.075</w:t>
            </w:r>
          </w:p>
        </w:tc>
        <w:tc>
          <w:tcPr>
            <w:tcW w:w="183"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428"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154.61±21.73</w:t>
            </w:r>
          </w:p>
        </w:tc>
        <w:tc>
          <w:tcPr>
            <w:tcW w:w="428"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75.53±13.47</w:t>
            </w:r>
          </w:p>
        </w:tc>
        <w:tc>
          <w:tcPr>
            <w:tcW w:w="220"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22.939</w:t>
            </w:r>
          </w:p>
        </w:tc>
        <w:tc>
          <w:tcPr>
            <w:tcW w:w="183"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428"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285.78±26.45</w:t>
            </w:r>
          </w:p>
        </w:tc>
        <w:tc>
          <w:tcPr>
            <w:tcW w:w="428"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213.65±17.64</w:t>
            </w:r>
          </w:p>
        </w:tc>
        <w:tc>
          <w:tcPr>
            <w:tcW w:w="220"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16.826</w:t>
            </w:r>
          </w:p>
        </w:tc>
        <w:tc>
          <w:tcPr>
            <w:tcW w:w="183"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r>
      <w:tr>
        <w:tblPrEx>
          <w:tblCellMar>
            <w:top w:w="15" w:type="dxa"/>
            <w:left w:w="15" w:type="dxa"/>
            <w:bottom w:w="15" w:type="dxa"/>
            <w:right w:w="15" w:type="dxa"/>
          </w:tblCellMar>
        </w:tblPrEx>
        <w:trPr>
          <w:trHeight w:val="235" w:hRule="atLeast"/>
          <w:jc w:val="center"/>
        </w:trPr>
        <w:tc>
          <w:tcPr>
            <w:tcW w:w="378"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Control Group</w:t>
            </w:r>
          </w:p>
        </w:tc>
        <w:tc>
          <w:tcPr>
            <w:tcW w:w="879"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55</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105.48±12.16</w:t>
            </w:r>
          </w:p>
        </w:tc>
        <w:tc>
          <w:tcPr>
            <w:tcW w:w="39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74.67±10.28</w:t>
            </w:r>
          </w:p>
        </w:tc>
        <w:tc>
          <w:tcPr>
            <w:tcW w:w="220"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14.350</w:t>
            </w:r>
          </w:p>
        </w:tc>
        <w:tc>
          <w:tcPr>
            <w:tcW w:w="183"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156.14±22.14</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121.74±17.34</w:t>
            </w:r>
          </w:p>
        </w:tc>
        <w:tc>
          <w:tcPr>
            <w:tcW w:w="220"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9.072</w:t>
            </w:r>
          </w:p>
        </w:tc>
        <w:tc>
          <w:tcPr>
            <w:tcW w:w="183"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286.57±26.95</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245.27±21.75</w:t>
            </w:r>
          </w:p>
        </w:tc>
        <w:tc>
          <w:tcPr>
            <w:tcW w:w="220"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8.844</w:t>
            </w:r>
          </w:p>
        </w:tc>
        <w:tc>
          <w:tcPr>
            <w:tcW w:w="183"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r>
      <w:tr>
        <w:tblPrEx>
          <w:tblCellMar>
            <w:top w:w="15" w:type="dxa"/>
            <w:left w:w="15" w:type="dxa"/>
            <w:bottom w:w="15" w:type="dxa"/>
            <w:right w:w="15" w:type="dxa"/>
          </w:tblCellMar>
        </w:tblPrEx>
        <w:trPr>
          <w:trHeight w:val="322" w:hRule="atLeast"/>
          <w:jc w:val="center"/>
        </w:trPr>
        <w:tc>
          <w:tcPr>
            <w:tcW w:w="378"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t</w:t>
            </w:r>
          </w:p>
        </w:tc>
        <w:tc>
          <w:tcPr>
            <w:tcW w:w="879"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0.810</w:t>
            </w:r>
          </w:p>
        </w:tc>
        <w:tc>
          <w:tcPr>
            <w:tcW w:w="39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-9.104</w:t>
            </w:r>
          </w:p>
        </w:tc>
        <w:tc>
          <w:tcPr>
            <w:tcW w:w="220"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183"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-0.366</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-15.608</w:t>
            </w:r>
          </w:p>
        </w:tc>
        <w:tc>
          <w:tcPr>
            <w:tcW w:w="220"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183"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-0.155</w:t>
            </w:r>
          </w:p>
        </w:tc>
        <w:tc>
          <w:tcPr>
            <w:tcW w:w="42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-8.374</w:t>
            </w:r>
          </w:p>
        </w:tc>
        <w:tc>
          <w:tcPr>
            <w:tcW w:w="220"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183"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r>
      <w:tr>
        <w:tblPrEx>
          <w:tblCellMar>
            <w:top w:w="15" w:type="dxa"/>
            <w:left w:w="15" w:type="dxa"/>
            <w:bottom w:w="15" w:type="dxa"/>
            <w:right w:w="15" w:type="dxa"/>
          </w:tblCellMar>
        </w:tblPrEx>
        <w:trPr>
          <w:trHeight w:val="235" w:hRule="atLeast"/>
          <w:jc w:val="center"/>
        </w:trPr>
        <w:tc>
          <w:tcPr>
            <w:tcW w:w="378" w:type="pct"/>
            <w:tcBorders>
              <w:top w:val="nil"/>
              <w:left w:val="nil"/>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P</w:t>
            </w:r>
          </w:p>
        </w:tc>
        <w:tc>
          <w:tcPr>
            <w:tcW w:w="879"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28"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0.420</w:t>
            </w:r>
          </w:p>
        </w:tc>
        <w:tc>
          <w:tcPr>
            <w:tcW w:w="391"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220"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183"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28"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0.715</w:t>
            </w:r>
          </w:p>
        </w:tc>
        <w:tc>
          <w:tcPr>
            <w:tcW w:w="428"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220"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183"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28"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0.877</w:t>
            </w:r>
          </w:p>
        </w:tc>
        <w:tc>
          <w:tcPr>
            <w:tcW w:w="428"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220"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183" w:type="pct"/>
            <w:tcBorders>
              <w:top w:val="nil"/>
              <w:left w:val="nil"/>
              <w:bottom w:val="single" w:color="auto" w:sz="12"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r>
    </w:tbl>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sectPr>
          <w:type w:val="continuous"/>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Comparison of the oxidative stress indexes between the two groups before and after treatment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Before treatment, there was no significant difference in T-AOC and MDA levels between the two groups (P&gt;0.05). However, after treatment, the T-AOC levels in the two groups were greatly higher than before treatment (P&lt;0.05), and the MDA levels were significantly lower than before treatment (P&lt;0.05). Moreover, the T-AOC level of the observation group was significantly higher than that of the control group (P&lt;0.05), and the MDA level was noticeably lower than that of the control group (P&lt;0.05), see Table 3.</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sectPr>
          <w:footerReference r:id="rId15" w:type="default"/>
          <w:footerReference r:id="rId16" w:type="even"/>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Table 3 Comparison of oxidative stress indexes between the two groups before and after treatment（¯x±s）</w:t>
      </w:r>
    </w:p>
    <w:tbl>
      <w:tblPr>
        <w:tblStyle w:val="5"/>
        <w:tblW w:w="4998" w:type="pct"/>
        <w:jc w:val="center"/>
        <w:tblLayout w:type="autofit"/>
        <w:tblCellMar>
          <w:top w:w="15" w:type="dxa"/>
          <w:left w:w="15" w:type="dxa"/>
          <w:bottom w:w="15" w:type="dxa"/>
          <w:right w:w="15" w:type="dxa"/>
        </w:tblCellMar>
      </w:tblPr>
      <w:tblGrid>
        <w:gridCol w:w="910"/>
        <w:gridCol w:w="605"/>
        <w:gridCol w:w="935"/>
        <w:gridCol w:w="935"/>
        <w:gridCol w:w="786"/>
        <w:gridCol w:w="660"/>
        <w:gridCol w:w="927"/>
        <w:gridCol w:w="927"/>
        <w:gridCol w:w="824"/>
        <w:gridCol w:w="824"/>
      </w:tblGrid>
      <w:tr>
        <w:tblPrEx>
          <w:tblCellMar>
            <w:top w:w="15" w:type="dxa"/>
            <w:left w:w="15" w:type="dxa"/>
            <w:bottom w:w="15" w:type="dxa"/>
            <w:right w:w="15" w:type="dxa"/>
          </w:tblCellMar>
        </w:tblPrEx>
        <w:trPr>
          <w:trHeight w:val="340" w:hRule="atLeast"/>
          <w:jc w:val="center"/>
        </w:trPr>
        <w:tc>
          <w:tcPr>
            <w:tcW w:w="499" w:type="pct"/>
            <w:vMerge w:val="restart"/>
            <w:tcBorders>
              <w:top w:val="single" w:color="auto" w:sz="12"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Groups</w:t>
            </w:r>
          </w:p>
        </w:tc>
        <w:tc>
          <w:tcPr>
            <w:tcW w:w="368"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Cases</w:t>
            </w:r>
          </w:p>
        </w:tc>
        <w:tc>
          <w:tcPr>
            <w:tcW w:w="1132" w:type="pct"/>
            <w:gridSpan w:val="2"/>
            <w:tcBorders>
              <w:top w:val="single" w:color="auto" w:sz="12"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T-AOC（U/mL）</w:t>
            </w:r>
          </w:p>
        </w:tc>
        <w:tc>
          <w:tcPr>
            <w:tcW w:w="477"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t</w:t>
            </w:r>
          </w:p>
        </w:tc>
        <w:tc>
          <w:tcPr>
            <w:tcW w:w="401"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i/>
                <w:iCs/>
                <w:sz w:val="18"/>
                <w:szCs w:val="18"/>
              </w:rPr>
              <w:t>P</w:t>
            </w:r>
          </w:p>
        </w:tc>
        <w:tc>
          <w:tcPr>
            <w:tcW w:w="1122" w:type="pct"/>
            <w:gridSpan w:val="2"/>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MDA(mmol/L)</w:t>
            </w:r>
          </w:p>
        </w:tc>
        <w:tc>
          <w:tcPr>
            <w:tcW w:w="499"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i/>
                <w:iCs/>
                <w:sz w:val="18"/>
                <w:szCs w:val="18"/>
              </w:rPr>
              <w:t>t</w:t>
            </w:r>
          </w:p>
        </w:tc>
        <w:tc>
          <w:tcPr>
            <w:tcW w:w="499" w:type="pct"/>
            <w:vMerge w:val="restart"/>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i/>
                <w:iCs/>
                <w:sz w:val="18"/>
                <w:szCs w:val="18"/>
              </w:rPr>
              <w:t>P</w:t>
            </w:r>
          </w:p>
        </w:tc>
      </w:tr>
      <w:tr>
        <w:tblPrEx>
          <w:tblCellMar>
            <w:top w:w="15" w:type="dxa"/>
            <w:left w:w="15" w:type="dxa"/>
            <w:bottom w:w="15" w:type="dxa"/>
            <w:right w:w="15" w:type="dxa"/>
          </w:tblCellMar>
        </w:tblPrEx>
        <w:trPr>
          <w:trHeight w:val="339" w:hRule="atLeast"/>
          <w:jc w:val="center"/>
        </w:trPr>
        <w:tc>
          <w:tcPr>
            <w:tcW w:w="499"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sz w:val="18"/>
                <w:szCs w:val="18"/>
              </w:rPr>
            </w:pPr>
          </w:p>
        </w:tc>
        <w:tc>
          <w:tcPr>
            <w:tcW w:w="368"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kern w:val="0"/>
                <w:sz w:val="18"/>
                <w:szCs w:val="18"/>
              </w:rPr>
            </w:pPr>
          </w:p>
        </w:tc>
        <w:tc>
          <w:tcPr>
            <w:tcW w:w="566"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Before treatment</w:t>
            </w:r>
          </w:p>
        </w:tc>
        <w:tc>
          <w:tcPr>
            <w:tcW w:w="566"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After treatment</w:t>
            </w:r>
          </w:p>
        </w:tc>
        <w:tc>
          <w:tcPr>
            <w:tcW w:w="477"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i/>
                <w:iCs/>
                <w:sz w:val="18"/>
                <w:szCs w:val="18"/>
              </w:rPr>
            </w:pPr>
          </w:p>
        </w:tc>
        <w:tc>
          <w:tcPr>
            <w:tcW w:w="401"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sz w:val="18"/>
                <w:szCs w:val="18"/>
              </w:rPr>
            </w:pPr>
          </w:p>
        </w:tc>
        <w:tc>
          <w:tcPr>
            <w:tcW w:w="561"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Before treatment</w:t>
            </w:r>
          </w:p>
        </w:tc>
        <w:tc>
          <w:tcPr>
            <w:tcW w:w="561" w:type="pct"/>
            <w:tcBorders>
              <w:top w:val="single" w:color="auto" w:sz="4" w:space="0"/>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After treatment</w:t>
            </w:r>
          </w:p>
        </w:tc>
        <w:tc>
          <w:tcPr>
            <w:tcW w:w="499"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sz w:val="18"/>
                <w:szCs w:val="18"/>
              </w:rPr>
            </w:pPr>
          </w:p>
        </w:tc>
        <w:tc>
          <w:tcPr>
            <w:tcW w:w="499" w:type="pct"/>
            <w:vMerge w:val="continue"/>
            <w:tcBorders>
              <w:top w:val="single" w:color="auto" w:sz="12"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cs="Times New Roman"/>
                <w:sz w:val="18"/>
                <w:szCs w:val="18"/>
              </w:rPr>
            </w:pPr>
          </w:p>
        </w:tc>
      </w:tr>
      <w:tr>
        <w:tblPrEx>
          <w:tblCellMar>
            <w:top w:w="15" w:type="dxa"/>
            <w:left w:w="15" w:type="dxa"/>
            <w:bottom w:w="15" w:type="dxa"/>
            <w:right w:w="15" w:type="dxa"/>
          </w:tblCellMar>
        </w:tblPrEx>
        <w:trPr>
          <w:trHeight w:val="253" w:hRule="atLeast"/>
          <w:jc w:val="center"/>
        </w:trPr>
        <w:tc>
          <w:tcPr>
            <w:tcW w:w="499" w:type="pct"/>
            <w:tcBorders>
              <w:top w:val="single" w:color="auto" w:sz="4"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Observation group</w:t>
            </w:r>
          </w:p>
        </w:tc>
        <w:tc>
          <w:tcPr>
            <w:tcW w:w="368" w:type="pct"/>
            <w:tcBorders>
              <w:top w:val="single" w:color="auto" w:sz="4" w:space="0"/>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55</w:t>
            </w:r>
          </w:p>
        </w:tc>
        <w:tc>
          <w:tcPr>
            <w:tcW w:w="566"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9.72±3.13</w:t>
            </w:r>
          </w:p>
        </w:tc>
        <w:tc>
          <w:tcPr>
            <w:tcW w:w="566"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21.78±4.02</w:t>
            </w:r>
          </w:p>
        </w:tc>
        <w:tc>
          <w:tcPr>
            <w:tcW w:w="477"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-17.555</w:t>
            </w:r>
          </w:p>
        </w:tc>
        <w:tc>
          <w:tcPr>
            <w:tcW w:w="401"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561"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3.75±0.63</w:t>
            </w:r>
          </w:p>
        </w:tc>
        <w:tc>
          <w:tcPr>
            <w:tcW w:w="561"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2.38±0.38</w:t>
            </w:r>
          </w:p>
        </w:tc>
        <w:tc>
          <w:tcPr>
            <w:tcW w:w="499"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13.810</w:t>
            </w:r>
          </w:p>
        </w:tc>
        <w:tc>
          <w:tcPr>
            <w:tcW w:w="499" w:type="pct"/>
            <w:tcBorders>
              <w:top w:val="single" w:color="auto" w:sz="4" w:space="0"/>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r>
      <w:tr>
        <w:tblPrEx>
          <w:tblCellMar>
            <w:top w:w="15" w:type="dxa"/>
            <w:left w:w="15" w:type="dxa"/>
            <w:bottom w:w="15" w:type="dxa"/>
            <w:right w:w="15" w:type="dxa"/>
          </w:tblCellMar>
        </w:tblPrEx>
        <w:trPr>
          <w:trHeight w:val="253" w:hRule="atLeast"/>
          <w:jc w:val="center"/>
        </w:trPr>
        <w:tc>
          <w:tcPr>
            <w:tcW w:w="499"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Control Group</w:t>
            </w:r>
          </w:p>
        </w:tc>
        <w:tc>
          <w:tcPr>
            <w:tcW w:w="368"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sz w:val="18"/>
                <w:szCs w:val="18"/>
              </w:rPr>
            </w:pPr>
            <w:r>
              <w:rPr>
                <w:rFonts w:hint="default" w:ascii="Times New Roman" w:hAnsi="Times New Roman" w:cs="Times New Roman"/>
                <w:sz w:val="18"/>
                <w:szCs w:val="18"/>
              </w:rPr>
              <w:t>55</w:t>
            </w:r>
          </w:p>
        </w:tc>
        <w:tc>
          <w:tcPr>
            <w:tcW w:w="566"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10.15±3.26</w:t>
            </w:r>
          </w:p>
        </w:tc>
        <w:tc>
          <w:tcPr>
            <w:tcW w:w="566"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15.82±3.91</w:t>
            </w:r>
          </w:p>
        </w:tc>
        <w:tc>
          <w:tcPr>
            <w:tcW w:w="477"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-8.260</w:t>
            </w:r>
          </w:p>
        </w:tc>
        <w:tc>
          <w:tcPr>
            <w:tcW w:w="40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56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3.63±0.61</w:t>
            </w:r>
          </w:p>
        </w:tc>
        <w:tc>
          <w:tcPr>
            <w:tcW w:w="56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3.08±0.43</w:t>
            </w:r>
          </w:p>
        </w:tc>
        <w:tc>
          <w:tcPr>
            <w:tcW w:w="499"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5.465</w:t>
            </w:r>
          </w:p>
        </w:tc>
        <w:tc>
          <w:tcPr>
            <w:tcW w:w="499"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r>
      <w:tr>
        <w:tblPrEx>
          <w:tblCellMar>
            <w:top w:w="15" w:type="dxa"/>
            <w:left w:w="15" w:type="dxa"/>
            <w:bottom w:w="15" w:type="dxa"/>
            <w:right w:w="15" w:type="dxa"/>
          </w:tblCellMar>
        </w:tblPrEx>
        <w:trPr>
          <w:trHeight w:val="347" w:hRule="atLeast"/>
          <w:jc w:val="center"/>
        </w:trPr>
        <w:tc>
          <w:tcPr>
            <w:tcW w:w="499" w:type="pct"/>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t</w:t>
            </w:r>
          </w:p>
        </w:tc>
        <w:tc>
          <w:tcPr>
            <w:tcW w:w="368"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566"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-0.706</w:t>
            </w:r>
          </w:p>
        </w:tc>
        <w:tc>
          <w:tcPr>
            <w:tcW w:w="566"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7.882</w:t>
            </w:r>
          </w:p>
        </w:tc>
        <w:tc>
          <w:tcPr>
            <w:tcW w:w="477"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0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56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1.015</w:t>
            </w:r>
          </w:p>
        </w:tc>
        <w:tc>
          <w:tcPr>
            <w:tcW w:w="561"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-9.047</w:t>
            </w:r>
          </w:p>
        </w:tc>
        <w:tc>
          <w:tcPr>
            <w:tcW w:w="499"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99" w:type="pct"/>
            <w:tcBorders>
              <w:top w:val="nil"/>
              <w:left w:val="nil"/>
              <w:bottom w:val="nil"/>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r>
      <w:tr>
        <w:tblPrEx>
          <w:tblCellMar>
            <w:top w:w="15" w:type="dxa"/>
            <w:left w:w="15" w:type="dxa"/>
            <w:bottom w:w="15" w:type="dxa"/>
            <w:right w:w="15" w:type="dxa"/>
          </w:tblCellMar>
        </w:tblPrEx>
        <w:trPr>
          <w:trHeight w:val="347" w:hRule="atLeast"/>
          <w:jc w:val="center"/>
        </w:trPr>
        <w:tc>
          <w:tcPr>
            <w:tcW w:w="499" w:type="pct"/>
            <w:tcBorders>
              <w:top w:val="nil"/>
              <w:left w:val="nil"/>
              <w:bottom w:val="single" w:color="auto"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cs="Times New Roman"/>
                <w:i/>
                <w:iCs/>
                <w:sz w:val="18"/>
                <w:szCs w:val="18"/>
              </w:rPr>
            </w:pPr>
            <w:r>
              <w:rPr>
                <w:rFonts w:hint="default" w:ascii="Times New Roman" w:hAnsi="Times New Roman" w:cs="Times New Roman"/>
                <w:i/>
                <w:iCs/>
                <w:sz w:val="18"/>
                <w:szCs w:val="18"/>
              </w:rPr>
              <w:t>P</w:t>
            </w:r>
          </w:p>
        </w:tc>
        <w:tc>
          <w:tcPr>
            <w:tcW w:w="368"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566"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0.482</w:t>
            </w:r>
          </w:p>
        </w:tc>
        <w:tc>
          <w:tcPr>
            <w:tcW w:w="566"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477"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01"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561"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0.312</w:t>
            </w:r>
          </w:p>
        </w:tc>
        <w:tc>
          <w:tcPr>
            <w:tcW w:w="561"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r>
              <w:rPr>
                <w:rFonts w:hint="default" w:ascii="Times New Roman" w:hAnsi="Times New Roman" w:cs="Times New Roman"/>
                <w:sz w:val="18"/>
                <w:szCs w:val="18"/>
              </w:rPr>
              <w:t>0.000</w:t>
            </w:r>
          </w:p>
        </w:tc>
        <w:tc>
          <w:tcPr>
            <w:tcW w:w="499"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c>
          <w:tcPr>
            <w:tcW w:w="499" w:type="pct"/>
            <w:tcBorders>
              <w:top w:val="nil"/>
              <w:left w:val="nil"/>
              <w:bottom w:val="single" w:color="auto" w:sz="4" w:space="0"/>
              <w:right w:val="nil"/>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sz w:val="18"/>
                <w:szCs w:val="18"/>
              </w:rPr>
            </w:pPr>
          </w:p>
        </w:tc>
      </w:tr>
    </w:tbl>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sectPr>
          <w:type w:val="continuous"/>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sz w:val="18"/>
          <w:szCs w:val="18"/>
        </w:rPr>
      </w:pPr>
      <w:r>
        <w:rPr>
          <w:rFonts w:hint="default" w:ascii="Times New Roman" w:hAnsi="Times New Roman" w:cs="Times New Roman"/>
          <w:b/>
          <w:sz w:val="18"/>
          <w:szCs w:val="18"/>
        </w:rPr>
        <w:t>Discussion</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Cerebral infarction accounts for about 70% of all stroke cases, with high morbidity and disability, and it is also an important cause of death to patients. It has been reported [6] that the pathological process of brain injury in patients with cerebral infarction is related to inflammation and oxidative stress. Cerebral infarction will promote the release of inflammatory cytokines, accompanied with the induced production of chemokines and adhesion molecules, to activate white blood cells, causing inflammatory immune cells to invade brain injury tissues, thereby triggering inflammatory response. In addition, a large amount of oxygen free radicals will be produced after cerebral infarction and result in overload of calcium ions in nerve cells, triggering acidosis and promoting cell apoptosis, thus further aggravating brain damage. The interaction of inflammation and oxidative stress together will seriously affects the prognosis of patients. Therefore, controlling inflammation and anti-oxidative stress is the key for clinical treatment of cerebral infarction.</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Lipoic acid is a coenzyme existing in the mitochondria, with a high electrophilicity and strong ability to scavenge oxygen free radicals. Lipoic acid has been widely used in the clinical treatment of diabetes and its chronic complications. Evangelos Agathos et al [7] used lipoic acid to treat patients with diabetic neuropathy, and found that it can effectively reduce neuropathy symptoms and improve patients’ quality of life. In an animal study, Yang Liu et al [8] treated brain-injured mice with lipoic acid, and observed that the drug can inhibit oxidative stress and inflammation, showing a better protective effect on the mouse brain tissues. To further expand the scope of clinical treatment of lipoic acid, this study applied lipoic acid injection in the clinical treatment of patients with cerebral infarction. It was found that the therapeutic effect of the drug on the cerebral infarction patients was noticeably better than the conventional treatment of using cerebral infarction alone. This may be related to the functions that lipoic acid could relieve oxidative stress and controlling inflammation.</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In order to explore the mechanism of lipoic acid in the oxidative stress response of patients with cerebral infarction, we measured the patient's T-AOC and MDA levels to assess oxidative stress response in patients’ bodies. T-AOC is a clinical indicator that reflects the body's total antioxidant capacity. MDA, which is the final product of lipid peroxides and an important factor leading to cell senescence and death, is often used to assess the degree of damage to tissue cells. The results of this study showed that lipoic acid injection can increase the level of T-AOC in patients with cerebral infarction and reduce the level of MDA, with a degree of improvement significantly better than that of using conventional treatment alone. This indicated that lipoic acid injection has good antioxidant properties in protecting brain tissues. According to previous reports [9], lipoic acid can easily penetrate the blood-brain barrier, effectively remove active oxygen free radicals, can also chelate metal ions, repair oxidized proteins, and promote endogenous and exogenous antioxidants such as vitamin C, and regenerate glutathione, thereby alleviating oxidative stress and reducing brain damage.</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A number of studies have shown [10,11] that due to increased oxidative stress response in patients with cerebral infarction, the serum levels of IL-6, IL-8, and sICAM-1 in patients also increase correspondingly, and this is related to certain neurological deficits in patients to some extent. IL-6, IL-8, and sICAM-1 play important roles in the body's inflammatory response. Among them, IL-6 has a variety of biological activities and is an important pro-inflammatory factor that induces the body's inflammatory response. sICAM-1 is a kind of adhesion molecule that promote the aggregation and adhesion of white blood cells. IL-8, which is mainly produced by T lymphocytes and macrophages, participates in inflammation and also regulates adhesion molecules, promote the adhesion between endothelial cells and white blood cells, thus further enhancing inflammation reaction. After treatment with lipoic acid injection, the levels of IL-6, IL-8, and sICAM-1 in the patients with cerebral infarction were significantly reduced. This is similar to the results of Shaafi S et al [12] who indicated that lipoic acid injection has a better anti-inflammatory effect. Lipoic acid can not only improve inflammation by reducing oxidative stress, but also restore blood perfusion disorders in neurotrophic blood vessels, improve nerve conduction velocity, reduce endothelial vascular damage, accumulation and adhesion of white blood cells, inflammatory factors and adhesion molecules, thereby further improving the inflammatory response and promoting the recovery of brain tissues.</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r>
        <w:rPr>
          <w:rFonts w:hint="default" w:ascii="Times New Roman" w:hAnsi="Times New Roman" w:cs="Times New Roman"/>
          <w:sz w:val="18"/>
          <w:szCs w:val="18"/>
        </w:rPr>
        <w:t>In summary, lipoic acid injection is effective in treating patients with cerebral infarction, as it could reduce the release of inflammatory factors improve the body's oxidative stress response and promote brain tissue recovery.</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widowControl/>
        <w:suppressLineNumbers w:val="0"/>
        <w:jc w:val="left"/>
      </w:pPr>
      <w:r>
        <w:rPr>
          <w:rFonts w:hint="default" w:ascii="Times New Roman" w:hAnsi="Times New Roman" w:eastAsia="宋体" w:cs="Times New Roman"/>
          <w:b/>
          <w:bCs/>
          <w:color w:val="000000"/>
          <w:kern w:val="0"/>
          <w:sz w:val="18"/>
          <w:szCs w:val="18"/>
          <w:lang w:val="en-US" w:eastAsia="zh-CN" w:bidi="ar"/>
        </w:rPr>
        <w:t>Declaration of conflict-of-interest</w:t>
      </w:r>
    </w:p>
    <w:p>
      <w:pPr>
        <w:keepNext w:val="0"/>
        <w:keepLines w:val="0"/>
        <w:widowControl/>
        <w:suppressLineNumbers w:val="0"/>
        <w:jc w:val="left"/>
      </w:pPr>
      <w:r>
        <w:rPr>
          <w:rFonts w:hint="default" w:ascii="Times New Roman" w:hAnsi="Times New Roman" w:eastAsia="宋体" w:cs="Times New Roman"/>
          <w:color w:val="000000"/>
          <w:kern w:val="0"/>
          <w:sz w:val="18"/>
          <w:szCs w:val="18"/>
          <w:lang w:val="en-US" w:eastAsia="zh-CN" w:bidi="ar"/>
        </w:rPr>
        <w:t>The authors declare no conflict-of –interest.</w:t>
      </w: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sz w:val="18"/>
          <w:szCs w:val="18"/>
        </w:rPr>
      </w:pPr>
    </w:p>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cs="Times New Roman"/>
          <w:b/>
          <w:bCs/>
          <w:sz w:val="18"/>
          <w:szCs w:val="18"/>
        </w:rPr>
      </w:pPr>
      <w:r>
        <w:rPr>
          <w:rFonts w:hint="default" w:ascii="Times New Roman" w:hAnsi="Times New Roman" w:cs="Times New Roman"/>
          <w:b/>
          <w:bCs/>
          <w:sz w:val="18"/>
          <w:szCs w:val="18"/>
        </w:rPr>
        <w:t>References</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 Tan Y F, Zhan L X, Chen X H, et al. Risk Factors, Clinical Features and Prognosis for Subtypes of Ischemic Stroke in a Chinese Population[J]. Current Medical Science, 2018, 38(2):296-303.</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 Crispo J A G, Thibault D P, Fortin Y, et al. Association between medication-related adverse events and non-elective readmission in acute ischemic stroke[J]. BMC Neurology, 2018, 18(1):192.</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[3] Lv C, Maharjan S, Wang Q, et al. α-Lipoic Acid Promotes Neurological Recovery After Ischemic Stroke by Activating the Nrf2/HO-1 Pathway to Attenuate Oxidative Damage[J]. Cellular Physiology &amp; Biochemistry, 2017, 43(3):1273-1287.</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[4] Nentwich LM. Diagnosis of Acute Ischemic Stoke[J]. Emergency Medicine Clinics of North America, 2016, 34(4):837-859.</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[5] Lyden P. Using the National Institutes of Health Stroke Scale A Cautionary Tale[J]. Stroke A Journal of Cerebral Circulation, 2017, 48(2):513-519.</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 Edwards D N, Bix G J. The Inflammatory Response After Ischemic Stroke: Targeting β2 and β1 Integrins[J]. Frontiers in Neuroscience, 2019, 13: 540.</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[7] Agathos E, Tentolouris A, Eleftheriadou I, et al. Effect of α-lipoic acid on symptoms and quality of life in patients with painful diabetic neuropathy[J]. The Journal of international medical research, 2018, 46(5):1779-1790.</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[8] Liu Y, Zhang Q, Wang L, et al. The α-lipoic acid improves high-fat diet-induced cerebral damage through inhibition of oxidative stress and inflammatory reaction[J]. Environmental Toxicology &amp; Pharmacology, 2017, 56:219-224.</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[9] Tutelyan VA, Makhova AA, Pogozheva AV, et al. Lipoic acid: physiological role and prospects for clinical application [J]. Vopr Pitan, 2019, 88(4):6-11.</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[10] Jenny NS, Callas PW, Judd SE, et al. Inflammatory cytokines and ischemic stroke risk: The REGARDS cohort[J]. Neurology, 2019, 92(20):e2375-e2384.</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[11] Wu B N, Wu J, Hao D L, et al. High serum sICAM-1 is correlated with cerebral microbleeds and hemorrhagic transformation in ischemic stroke patients[J]. British Journal of Neurosurgery, 2018, 32(6):631-636.</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[12] Shaafi S, Ebrahimpour-Koujan S, Khalili M, et al. Effects of Alpha Lipoic Acid Supplementation on Serum Levels of Oxidative Stress, Inflammatory Markers and Clinical Prognosis among Acute Ischemic Stroke Patients: A Randomized, Double Blind, TNS Trial[J]. Adv Pharm Bull, 2020, 10(2):284-289.</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sectPr>
          <w:footerReference r:id="rId17" w:type="default"/>
          <w:footerReference r:id="rId18" w:type="even"/>
          <w:type w:val="continuous"/>
          <w:pgSz w:w="11906" w:h="16838"/>
          <w:pgMar w:top="1440" w:right="1800" w:bottom="1440" w:left="1800" w:header="851" w:footer="992" w:gutter="0"/>
          <w:pgNumType w:fmt="decimal"/>
          <w:cols w:equalWidth="0" w:num="2">
            <w:col w:w="3940" w:space="425"/>
            <w:col w:w="3940"/>
          </w:cols>
          <w:titlePg/>
          <w:docGrid w:type="lines" w:linePitch="312" w:charSpace="0"/>
        </w:sect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bookmarkStart w:id="0" w:name="_GoBack"/>
      <w:bookmarkEnd w:id="0"/>
    </w:p>
    <w:sectPr>
      <w:type w:val="continuous"/>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-26670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Arial" w:hAnsi="Arial" w:cs="Arial" w:eastAsiaTheme="minorEastAsia"/>
                              <w:b/>
                              <w:bCs/>
                              <w:lang w:val="en-US" w:eastAsia="zh-CN"/>
                            </w:rPr>
                          </w:pPr>
                          <w:r>
                            <w:rPr>
                              <w:rFonts w:hint="eastAsia" w:ascii="Arial" w:hAnsi="Arial" w:cs="Arial"/>
                              <w:b/>
                              <w:bCs/>
                              <w:lang w:val="en-US" w:eastAsia="zh-CN"/>
                            </w:rPr>
                            <w:t>42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2.1pt;height:144pt;width:144pt;mso-position-horizontal-relative:margin;mso-wrap-style:none;z-index:251662336;mso-width-relative:page;mso-height-relative:page;" filled="f" stroked="f" coordsize="21600,21600" o:gfxdata="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Ju71tQAAAAHAQAADwAAAAAAAAABACAAAAAiAAAAZHJzL2Rvd25yZXYueG1sUEsBAhQAFAAA&#10;AAgAh07iQJ66C/ssAgAAVQQAAA4AAAAAAAAAAQAgAAAAIwEAAGRycy9lMm9Eb2MueG1sUEsFBgAA&#10;AAAGAAYAWQEAAMEFAAAAAA==&#10;">
              <v:fill on="f" focussize="0,0"/>
              <v:stroke on="f" weight="0.5pt"/>
              <v:imagedata o:title=""/>
              <o:lock v:ext="edit" aspectratio="f"/>
              <v:textbox inset="0mm,0mm,0mm,0mm" style="mso-fit-shape-to-text:t;">
                <w:txbxContent>
                  <w:p>
                    <w:pPr>
                      <w:pStyle w:val="3"/>
                      <w:rPr>
                        <w:rFonts w:hint="default" w:ascii="Arial" w:hAnsi="Arial" w:cs="Arial" w:eastAsiaTheme="minorEastAsia"/>
                        <w:b/>
                        <w:bCs/>
                        <w:lang w:val="en-US" w:eastAsia="zh-CN"/>
                      </w:rPr>
                    </w:pPr>
                    <w:r>
                      <w:rPr>
                        <w:rFonts w:hint="eastAsia" w:ascii="Arial" w:hAnsi="Arial" w:cs="Arial"/>
                        <w:b/>
                        <w:bCs/>
                        <w:lang w:val="en-US" w:eastAsia="zh-CN"/>
                      </w:rPr>
                      <w:t>42</w:t>
                    </w:r>
                  </w:p>
                </w:txbxContent>
              </v:textbox>
            </v:shape>
          </w:pict>
        </mc:Fallback>
      </mc:AlternateContent>
    </w:r>
    <w:r>
      <w:rPr>
        <w:rFonts w:hint="eastAsia" w:ascii="Arial" w:hAnsi="Arial" w:cs="Arial"/>
        <w:b/>
        <w:bCs/>
        <w:sz w:val="13"/>
        <w:szCs w:val="13"/>
      </w:rPr>
      <w:tab/>
    </w:r>
    <w:r>
      <w:rPr>
        <w:rFonts w:hint="eastAsia" w:ascii="Arial" w:hAnsi="Arial" w:cs="Arial"/>
        <w:b/>
        <w:bCs/>
        <w:sz w:val="13"/>
        <w:szCs w:val="13"/>
      </w:rPr>
      <w:t xml:space="preserve">                                                 </w: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Diagnostic Brain Medicine published by WIE-Biotech Co., Ltd</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left"/>
      <w:textAlignment w:val="auto"/>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right"/>
      <w:textAlignment w:val="auto"/>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Arial" w:hAnsi="Arial" w:eastAsia="宋体" w:cs="Arial"/>
        <w:b/>
        <w:bCs/>
        <w:sz w:val="21"/>
        <w:szCs w:val="21"/>
      </w:rPr>
      <w:t>6</w:t>
    </w:r>
    <w:r>
      <w:rPr>
        <w:rFonts w:ascii="Arial" w:hAnsi="Arial" w:eastAsia="宋体" w:cs="Arial"/>
        <w:b/>
        <w:bCs/>
        <w:sz w:val="13"/>
        <w:szCs w:val="13"/>
      </w:rPr>
      <w:ptab w:relativeTo="margin" w:alignment="center" w:leader="none"/>
    </w:r>
    <w:r>
      <w:rPr>
        <w:rFonts w:ascii="Arial" w:hAnsi="Arial" w:cs="Arial"/>
        <w:b/>
        <w:sz w:val="13"/>
        <w:szCs w:val="13"/>
      </w:rPr>
      <w:t>©2018 The Authors. Journal of Experimental and Clinical Application of Chinese Medicine published by WIE-Biotech Co., Ltd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both"/>
      <w:textAlignment w:val="auto"/>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posOffset>5140960</wp:posOffset>
              </wp:positionH>
              <wp:positionV relativeFrom="paragraph">
                <wp:posOffset>-17780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eastAsiaTheme="minorEastAsia"/>
                              <w:b/>
                              <w:bCs/>
                              <w:lang w:val="en-US" w:eastAsia="zh-CN"/>
                            </w:rPr>
                          </w:pPr>
                          <w:r>
                            <w:rPr>
                              <w:rFonts w:hint="eastAsia" w:ascii="Arial" w:hAnsi="Arial" w:cs="Arial"/>
                              <w:b/>
                              <w:bCs/>
                              <w:lang w:val="en-US" w:eastAsia="zh-CN"/>
                            </w:rPr>
                            <w:t>39</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4.8pt;margin-top:-1.4pt;height:144pt;width:144pt;mso-position-horizontal-relative:margin;mso-wrap-style:none;z-index:251661312;mso-width-relative:page;mso-height-relative:page;" filled="f" stroked="f" coordsize="21600,21600" o:gfxdata="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7Dbk/YAAAACwEAAA8AAAAAAAAAAQAgAAAAIgAAAGRycy9kb3ducmV2LnhtbFBLAQIU&#10;ABQAAAAIAIdO4kAXDIm4LAIAAFUEAAAOAAAAAAAAAAEAIAAAACcBAABkcnMvZTJvRG9jLnhtbFBL&#10;BQYAAAAABgAGAFkBAADFBQAAAAA=&#10;">
              <v:fill on="f" focussize="0,0"/>
              <v:stroke on="f" weight="0.5pt"/>
              <v:imagedata o:title=""/>
              <o:lock v:ext="edit" aspectratio="f"/>
              <v:textbox inset="0mm,0mm,0mm,0mm" style="mso-fit-shape-to-text:t;">
                <w:txbxContent>
                  <w:p>
                    <w:pPr>
                      <w:pStyle w:val="3"/>
                      <w:rPr>
                        <w:rFonts w:hint="default" w:eastAsiaTheme="minorEastAsia"/>
                        <w:b/>
                        <w:bCs/>
                        <w:lang w:val="en-US" w:eastAsia="zh-CN"/>
                      </w:rPr>
                    </w:pPr>
                    <w:r>
                      <w:rPr>
                        <w:rFonts w:hint="eastAsia" w:ascii="Arial" w:hAnsi="Arial" w:cs="Arial"/>
                        <w:b/>
                        <w:bCs/>
                        <w:lang w:val="en-US" w:eastAsia="zh-CN"/>
                      </w:rPr>
                      <w:t>39</w:t>
                    </w:r>
                  </w:p>
                </w:txbxContent>
              </v:textbox>
            </v:shape>
          </w:pict>
        </mc:Fallback>
      </mc:AlternateContent>
    </w:r>
    <w:r>
      <w:rPr>
        <w:rFonts w:ascii="Arial" w:hAnsi="Arial" w:cs="Arial"/>
        <w:sz w:val="13"/>
        <w:szCs w:val="13"/>
      </w:rPr>
      <w:t>©20</w:t>
    </w:r>
    <w:r>
      <w:rPr>
        <w:rFonts w:hint="eastAsia" w:ascii="Arial" w:hAnsi="Arial" w:cs="Arial"/>
        <w:sz w:val="13"/>
        <w:szCs w:val="13"/>
      </w:rPr>
      <w:t>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ascii="Arial" w:hAnsi="Arial" w:cs="Arial"/>
        <w:b/>
        <w:bCs/>
        <w:sz w:val="13"/>
        <w:szCs w:val="13"/>
      </w:rPr>
      <w:tab/>
    </w:r>
    <w:r>
      <w:rPr>
        <w:rFonts w:hint="eastAsia" w:ascii="Arial" w:hAnsi="Arial" w:cs="Arial"/>
        <w:b/>
        <w:bCs/>
        <w:sz w:val="13"/>
        <w:szCs w:val="13"/>
      </w:rPr>
      <w:t xml:space="preserve">                                                  </w:t>
    </w:r>
    <w:r>
      <w:rPr>
        <w:rFonts w:ascii="Arial" w:hAnsi="Arial" w:cs="Arial"/>
        <w:b/>
        <w:bCs/>
        <w:sz w:val="13"/>
        <w:szCs w:val="13"/>
      </w:rPr>
      <w:t>©2021 The Authors. Diagnostic Brain Medicine published by WIE-Biotech Co., Ltd</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Arial" w:hAnsi="Arial" w:cs="Arial"/>
                              <w:b/>
                              <w:bCs/>
                            </w:rPr>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
                      <w:rPr>
                        <w:rFonts w:ascii="Arial" w:hAnsi="Arial" w:cs="Arial"/>
                        <w:b/>
                        <w:bCs/>
                      </w:rPr>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w:t>
                    </w:r>
                    <w:r>
                      <w:rPr>
                        <w:rFonts w:ascii="Arial" w:hAnsi="Arial" w:cs="Arial"/>
                        <w:b/>
                        <w:bCs/>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left"/>
      <w:textAlignment w:val="auto"/>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right"/>
      <w:textAlignment w:val="auto"/>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left"/>
      <w:textAlignment w:val="auto"/>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jc w:val="right"/>
      <w:textAlignment w:val="auto"/>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ascii="Arial" w:hAnsi="Arial" w:cs="Arial"/>
                        <w:b/>
                        <w:bCs/>
                      </w:rPr>
                      <w:fldChar w:fldCharType="begin"/>
                    </w:r>
                    <w:r>
                      <w:rPr>
                        <w:rFonts w:ascii="Arial" w:hAnsi="Arial" w:cs="Arial"/>
                        <w:b/>
                        <w:bCs/>
                      </w:rPr>
                      <w:instrText xml:space="preserve"> PAGE  \* MERGEFORMAT </w:instrText>
                    </w:r>
                    <w:r>
                      <w:rPr>
                        <w:rFonts w:ascii="Arial" w:hAnsi="Arial" w:cs="Arial"/>
                        <w:b/>
                        <w:bCs/>
                      </w:rPr>
                      <w:fldChar w:fldCharType="separate"/>
                    </w:r>
                    <w:r>
                      <w:rPr>
                        <w:rFonts w:ascii="Arial" w:hAnsi="Arial" w:cs="Arial"/>
                        <w:b/>
                        <w:bCs/>
                      </w:rPr>
                      <w:t>24</w:t>
                    </w:r>
                    <w:r>
                      <w:rPr>
                        <w:rFonts w:ascii="Arial" w:hAnsi="Arial" w:cs="Arial"/>
                        <w:b/>
                        <w:bCs/>
                      </w:rPr>
                      <w:fldChar w:fldCharType="end"/>
                    </w:r>
                  </w:p>
                </w:txbxContent>
              </v:textbox>
            </v:shape>
          </w:pict>
        </mc:Fallback>
      </mc:AlternateContent>
    </w:r>
    <w:r>
      <w:rPr>
        <w:rFonts w:ascii="Arial" w:hAnsi="Arial" w:cs="Arial"/>
        <w:sz w:val="13"/>
        <w:szCs w:val="13"/>
      </w:rPr>
      <w:t>©202</w:t>
    </w:r>
    <w:r>
      <w:rPr>
        <w:rFonts w:hint="eastAsia" w:ascii="Arial" w:hAnsi="Arial" w:cs="Arial"/>
        <w:sz w:val="13"/>
        <w:szCs w:val="13"/>
        <w:lang w:val="en-US" w:eastAsia="zh-CN"/>
      </w:rPr>
      <w:t>0</w:t>
    </w:r>
    <w:r>
      <w:rPr>
        <w:rFonts w:ascii="Arial" w:hAnsi="Arial" w:cs="Arial"/>
        <w:sz w:val="13"/>
        <w:szCs w:val="13"/>
      </w:rPr>
      <w:t xml:space="preserve"> The Authors. </w:t>
    </w:r>
    <w:r>
      <w:rPr>
        <w:rFonts w:hint="eastAsia" w:ascii="Arial" w:hAnsi="Arial" w:eastAsia="Arial Unicode MS" w:cs="Arial"/>
        <w:sz w:val="13"/>
        <w:szCs w:val="13"/>
      </w:rPr>
      <w:t>Diagnostic Brain Medicine</w:t>
    </w:r>
    <w:r>
      <w:rPr>
        <w:rFonts w:ascii="Arial" w:hAnsi="Arial" w:cs="Arial"/>
        <w:sz w:val="13"/>
        <w:szCs w:val="13"/>
      </w:rPr>
      <w:t xml:space="preserve"> published by WIE-Biotech Co., Ltd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r>
      <w:rPr>
        <w:rFonts w:hint="eastAsia" w:ascii="Arial" w:hAnsi="Arial" w:cs="Arial"/>
        <w:sz w:val="16"/>
        <w:szCs w:val="16"/>
        <w:lang w:val="en-US" w:eastAsia="zh-CN"/>
      </w:rPr>
      <w:t xml:space="preserve">Yuting Lu </w:t>
    </w:r>
    <w:r>
      <w:rPr>
        <w:rFonts w:ascii="Arial" w:hAnsi="Arial" w:cs="Arial"/>
        <w:sz w:val="16"/>
        <w:szCs w:val="16"/>
      </w:rPr>
      <w:t>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lang w:val="en-US" w:eastAsia="zh-CN"/>
      </w:rPr>
      <w:t xml:space="preserve">       </w:t>
    </w:r>
    <w:r>
      <w:rPr>
        <w:rFonts w:hint="eastAsia" w:ascii="Arial" w:hAnsi="Arial" w:cs="Arial"/>
        <w:sz w:val="16"/>
        <w:szCs w:val="16"/>
      </w:rPr>
      <w:t xml:space="preserve"> </w:t>
    </w:r>
    <w:r>
      <w:rPr>
        <w:rFonts w:hint="eastAsia" w:ascii="Arial" w:hAnsi="Arial" w:cs="Arial"/>
        <w:sz w:val="16"/>
        <w:szCs w:val="16"/>
        <w:lang w:val="en-US" w:eastAsia="zh-CN"/>
      </w:rPr>
      <w:t xml:space="preserve">                       </w:t>
    </w:r>
    <w:r>
      <w:rPr>
        <w:rFonts w:hint="eastAsia" w:ascii="Arial" w:hAnsi="Arial" w:cs="Arial"/>
        <w:b w:val="0"/>
        <w:bCs w:val="0"/>
        <w:sz w:val="16"/>
        <w:szCs w:val="16"/>
      </w:rPr>
      <w:t xml:space="preserve">Exploration of </w:t>
    </w:r>
    <w:r>
      <w:rPr>
        <w:rFonts w:hint="eastAsia" w:ascii="Arial" w:hAnsi="Arial" w:cs="Arial"/>
        <w:b w:val="0"/>
        <w:bCs w:val="0"/>
        <w:sz w:val="16"/>
        <w:szCs w:val="16"/>
        <w:lang w:val="en-US" w:eastAsia="zh-CN"/>
      </w:rPr>
      <w:t>C</w:t>
    </w:r>
    <w:r>
      <w:rPr>
        <w:rFonts w:hint="eastAsia" w:ascii="Arial" w:hAnsi="Arial" w:cs="Arial"/>
        <w:b w:val="0"/>
        <w:bCs w:val="0"/>
        <w:sz w:val="16"/>
        <w:szCs w:val="16"/>
      </w:rPr>
      <w:t xml:space="preserve">erebral </w:t>
    </w:r>
    <w:r>
      <w:rPr>
        <w:rFonts w:hint="eastAsia" w:ascii="Arial" w:hAnsi="Arial" w:cs="Arial"/>
        <w:b w:val="0"/>
        <w:bCs w:val="0"/>
        <w:sz w:val="16"/>
        <w:szCs w:val="16"/>
        <w:lang w:val="en-US" w:eastAsia="zh-CN"/>
      </w:rPr>
      <w:t>I</w:t>
    </w:r>
    <w:r>
      <w:rPr>
        <w:rFonts w:hint="eastAsia" w:ascii="Arial" w:hAnsi="Arial" w:cs="Arial"/>
        <w:b w:val="0"/>
        <w:bCs w:val="0"/>
        <w:sz w:val="16"/>
        <w:szCs w:val="16"/>
      </w:rPr>
      <w:t xml:space="preserve">nfarction </w:t>
    </w:r>
    <w:r>
      <w:rPr>
        <w:rFonts w:hint="eastAsia" w:ascii="Arial" w:hAnsi="Arial" w:cs="Arial"/>
        <w:b w:val="0"/>
        <w:bCs w:val="0"/>
        <w:sz w:val="16"/>
        <w:szCs w:val="16"/>
        <w:lang w:val="en-US" w:eastAsia="zh-CN"/>
      </w:rPr>
      <w:t>P</w:t>
    </w:r>
    <w:r>
      <w:rPr>
        <w:rFonts w:hint="eastAsia" w:ascii="Arial" w:hAnsi="Arial" w:cs="Arial"/>
        <w:b w:val="0"/>
        <w:bCs w:val="0"/>
        <w:sz w:val="16"/>
        <w:szCs w:val="16"/>
      </w:rPr>
      <w:t xml:space="preserve">atients' </w:t>
    </w:r>
    <w:r>
      <w:rPr>
        <w:rFonts w:hint="eastAsia" w:ascii="Arial" w:hAnsi="Arial" w:cs="Arial"/>
        <w:b w:val="0"/>
        <w:bCs w:val="0"/>
        <w:sz w:val="16"/>
        <w:szCs w:val="16"/>
        <w:lang w:val="en-US" w:eastAsia="zh-CN"/>
      </w:rPr>
      <w:t>T</w:t>
    </w:r>
    <w:r>
      <w:rPr>
        <w:rFonts w:hint="eastAsia" w:ascii="Arial" w:hAnsi="Arial" w:cs="Arial"/>
        <w:b w:val="0"/>
        <w:bCs w:val="0"/>
        <w:sz w:val="16"/>
        <w:szCs w:val="16"/>
      </w:rPr>
      <w:t>reatment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ascii="Arial" w:hAnsi="Arial" w:cs="Arial"/>
        <w:sz w:val="16"/>
        <w:szCs w:val="16"/>
      </w:rPr>
      <w:t>Shengjun Chen 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rPr>
      <w:t xml:space="preserve"> </w:t>
    </w:r>
    <w:r>
      <w:rPr>
        <w:rFonts w:ascii="Arial" w:hAnsi="Arial" w:cs="Arial"/>
        <w:sz w:val="16"/>
        <w:szCs w:val="16"/>
      </w:rPr>
      <w:t xml:space="preserve"> </w:t>
    </w:r>
    <w:r>
      <w:rPr>
        <w:rFonts w:hint="eastAsia" w:ascii="Arial" w:hAnsi="Arial" w:cs="Arial"/>
        <w:sz w:val="16"/>
        <w:szCs w:val="16"/>
      </w:rPr>
      <w:t>Correlation Analysis of Clinical Indexes in T2DM Patients with Cerebral Infarction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reeDEmboss" w:color="0584A7" w:sz="18" w:space="1"/>
      </w:pBdr>
      <w:jc w:val="left"/>
      <w:rPr>
        <w:rFonts w:ascii="Arial" w:hAnsi="Arial" w:eastAsia="Arial Unicode MS" w:cs="Arial"/>
        <w:b/>
        <w:i/>
        <w:color w:val="3E6593"/>
        <w:sz w:val="32"/>
        <w:szCs w:val="32"/>
      </w:rPr>
    </w:pPr>
    <w:r>
      <w:rPr>
        <w:rFonts w:ascii="Arial" w:hAnsi="Arial" w:eastAsia="Arial Unicode MS" w:cs="Arial"/>
        <w:b/>
        <w:i/>
        <w:color w:val="3E6593"/>
        <w:sz w:val="32"/>
        <w:szCs w:val="32"/>
      </w:rPr>
      <w:t xml:space="preserve">Diagnostic </w:t>
    </w:r>
    <w:r>
      <w:rPr>
        <w:rFonts w:hint="eastAsia" w:ascii="Arial" w:hAnsi="Arial" w:eastAsia="Arial Unicode MS" w:cs="Arial"/>
        <w:b/>
        <w:i/>
        <w:color w:val="3E6593"/>
        <w:sz w:val="32"/>
        <w:szCs w:val="32"/>
      </w:rPr>
      <w:t>B</w:t>
    </w:r>
    <w:r>
      <w:rPr>
        <w:rFonts w:ascii="Arial" w:hAnsi="Arial" w:eastAsia="Arial Unicode MS" w:cs="Arial"/>
        <w:b/>
        <w:i/>
        <w:color w:val="3E6593"/>
        <w:sz w:val="32"/>
        <w:szCs w:val="32"/>
      </w:rPr>
      <w:t xml:space="preserve">rain </w:t>
    </w:r>
    <w:r>
      <w:rPr>
        <w:rFonts w:hint="eastAsia" w:ascii="Arial" w:hAnsi="Arial" w:eastAsia="Arial Unicode MS" w:cs="Arial"/>
        <w:b/>
        <w:i/>
        <w:color w:val="3E6593"/>
        <w:sz w:val="32"/>
        <w:szCs w:val="32"/>
      </w:rPr>
      <w:t>M</w:t>
    </w:r>
    <w:r>
      <w:rPr>
        <w:rFonts w:ascii="Arial" w:hAnsi="Arial" w:eastAsia="Arial Unicode MS" w:cs="Arial"/>
        <w:b/>
        <w:i/>
        <w:color w:val="3E6593"/>
        <w:sz w:val="32"/>
        <w:szCs w:val="32"/>
      </w:rPr>
      <w:t>edicine</w:t>
    </w:r>
  </w:p>
  <w:p>
    <w:pPr>
      <w:pBdr>
        <w:bottom w:val="threeDEmboss" w:color="0584A7" w:sz="18" w:space="1"/>
      </w:pBdr>
      <w:jc w:val="left"/>
      <w:rPr>
        <w:rFonts w:ascii="Arial" w:hAnsi="Arial" w:eastAsia="Arial Unicode MS" w:cs="Arial"/>
        <w:b/>
        <w:i/>
        <w:color w:val="3E6593"/>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hint="eastAsia" w:ascii="Arial" w:hAnsi="Arial" w:cs="Arial"/>
        <w:sz w:val="16"/>
        <w:szCs w:val="16"/>
      </w:rPr>
    </w:pPr>
    <w:r>
      <w:rPr>
        <w:rFonts w:hint="eastAsia" w:ascii="Arial" w:hAnsi="Arial" w:cs="Arial"/>
        <w:sz w:val="16"/>
        <w:szCs w:val="16"/>
        <w:lang w:val="en-US" w:eastAsia="zh-CN"/>
      </w:rPr>
      <w:t xml:space="preserve">Yuting Lu </w:t>
    </w:r>
    <w:r>
      <w:rPr>
        <w:rFonts w:ascii="Arial" w:hAnsi="Arial" w:cs="Arial"/>
        <w:sz w:val="16"/>
        <w:szCs w:val="16"/>
      </w:rPr>
      <w:t>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lang w:val="en-US" w:eastAsia="zh-CN"/>
      </w:rPr>
      <w:t xml:space="preserve">       </w:t>
    </w:r>
    <w:r>
      <w:rPr>
        <w:rFonts w:hint="eastAsia" w:ascii="Arial" w:hAnsi="Arial" w:cs="Arial"/>
        <w:sz w:val="16"/>
        <w:szCs w:val="16"/>
      </w:rPr>
      <w:t xml:space="preserve"> </w:t>
    </w:r>
    <w:r>
      <w:rPr>
        <w:rFonts w:hint="eastAsia" w:ascii="Arial" w:hAnsi="Arial" w:cs="Arial"/>
        <w:sz w:val="16"/>
        <w:szCs w:val="16"/>
        <w:lang w:val="en-US" w:eastAsia="zh-CN"/>
      </w:rPr>
      <w:t xml:space="preserve">                       </w:t>
    </w:r>
    <w:r>
      <w:rPr>
        <w:rFonts w:hint="eastAsia" w:ascii="Arial" w:hAnsi="Arial" w:cs="Arial"/>
        <w:b w:val="0"/>
        <w:bCs w:val="0"/>
        <w:sz w:val="16"/>
        <w:szCs w:val="16"/>
      </w:rPr>
      <w:t xml:space="preserve">Exploration of </w:t>
    </w:r>
    <w:r>
      <w:rPr>
        <w:rFonts w:hint="eastAsia" w:ascii="Arial" w:hAnsi="Arial" w:cs="Arial"/>
        <w:b w:val="0"/>
        <w:bCs w:val="0"/>
        <w:sz w:val="16"/>
        <w:szCs w:val="16"/>
        <w:lang w:val="en-US" w:eastAsia="zh-CN"/>
      </w:rPr>
      <w:t>C</w:t>
    </w:r>
    <w:r>
      <w:rPr>
        <w:rFonts w:hint="eastAsia" w:ascii="Arial" w:hAnsi="Arial" w:cs="Arial"/>
        <w:b w:val="0"/>
        <w:bCs w:val="0"/>
        <w:sz w:val="16"/>
        <w:szCs w:val="16"/>
      </w:rPr>
      <w:t xml:space="preserve">erebral </w:t>
    </w:r>
    <w:r>
      <w:rPr>
        <w:rFonts w:hint="eastAsia" w:ascii="Arial" w:hAnsi="Arial" w:cs="Arial"/>
        <w:b w:val="0"/>
        <w:bCs w:val="0"/>
        <w:sz w:val="16"/>
        <w:szCs w:val="16"/>
        <w:lang w:val="en-US" w:eastAsia="zh-CN"/>
      </w:rPr>
      <w:t>I</w:t>
    </w:r>
    <w:r>
      <w:rPr>
        <w:rFonts w:hint="eastAsia" w:ascii="Arial" w:hAnsi="Arial" w:cs="Arial"/>
        <w:b w:val="0"/>
        <w:bCs w:val="0"/>
        <w:sz w:val="16"/>
        <w:szCs w:val="16"/>
      </w:rPr>
      <w:t xml:space="preserve">nfarction </w:t>
    </w:r>
    <w:r>
      <w:rPr>
        <w:rFonts w:hint="eastAsia" w:ascii="Arial" w:hAnsi="Arial" w:cs="Arial"/>
        <w:b w:val="0"/>
        <w:bCs w:val="0"/>
        <w:sz w:val="16"/>
        <w:szCs w:val="16"/>
        <w:lang w:val="en-US" w:eastAsia="zh-CN"/>
      </w:rPr>
      <w:t>P</w:t>
    </w:r>
    <w:r>
      <w:rPr>
        <w:rFonts w:hint="eastAsia" w:ascii="Arial" w:hAnsi="Arial" w:cs="Arial"/>
        <w:b w:val="0"/>
        <w:bCs w:val="0"/>
        <w:sz w:val="16"/>
        <w:szCs w:val="16"/>
      </w:rPr>
      <w:t xml:space="preserve">atients' </w:t>
    </w:r>
    <w:r>
      <w:rPr>
        <w:rFonts w:hint="eastAsia" w:ascii="Arial" w:hAnsi="Arial" w:cs="Arial"/>
        <w:b w:val="0"/>
        <w:bCs w:val="0"/>
        <w:sz w:val="16"/>
        <w:szCs w:val="16"/>
        <w:lang w:val="en-US" w:eastAsia="zh-CN"/>
      </w:rPr>
      <w:t>T</w:t>
    </w:r>
    <w:r>
      <w:rPr>
        <w:rFonts w:hint="eastAsia" w:ascii="Arial" w:hAnsi="Arial" w:cs="Arial"/>
        <w:b w:val="0"/>
        <w:bCs w:val="0"/>
        <w:sz w:val="16"/>
        <w:szCs w:val="16"/>
      </w:rPr>
      <w:t>reatment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left"/>
    </w:pPr>
    <w:r>
      <w:rPr>
        <w:rFonts w:hint="eastAsia" w:ascii="Arial" w:hAnsi="Arial" w:cs="Arial"/>
        <w:sz w:val="16"/>
        <w:szCs w:val="16"/>
        <w:lang w:val="en-US" w:eastAsia="zh-CN"/>
      </w:rPr>
      <w:t xml:space="preserve">Gang Yang </w:t>
    </w:r>
    <w:r>
      <w:rPr>
        <w:rFonts w:ascii="Arial" w:hAnsi="Arial" w:cs="Arial"/>
        <w:sz w:val="16"/>
        <w:szCs w:val="16"/>
      </w:rPr>
      <w:t>et al.</w:t>
    </w:r>
    <w:r>
      <w:rPr>
        <w:rFonts w:ascii="Arial" w:hAnsi="Arial" w:cs="Arial"/>
        <w:sz w:val="16"/>
        <w:szCs w:val="16"/>
      </w:rPr>
      <w:ptab w:relativeTo="margin" w:alignment="center" w:leader="none"/>
    </w:r>
    <w:r>
      <w:rPr>
        <w:rFonts w:ascii="Arial" w:hAnsi="Arial" w:cs="Arial"/>
        <w:sz w:val="16"/>
        <w:szCs w:val="16"/>
      </w:rPr>
      <w:t xml:space="preserve">            </w:t>
    </w:r>
    <w:r>
      <w:rPr>
        <w:rFonts w:hint="eastAsia" w:ascii="Arial" w:hAnsi="Arial" w:cs="Arial"/>
        <w:sz w:val="16"/>
        <w:szCs w:val="16"/>
      </w:rPr>
      <w:t xml:space="preserve"> </w:t>
    </w:r>
    <w:r>
      <w:rPr>
        <w:rFonts w:ascii="Arial" w:hAnsi="Arial" w:cs="Arial"/>
        <w:sz w:val="16"/>
        <w:szCs w:val="16"/>
      </w:rPr>
      <w:t xml:space="preserve"> </w:t>
    </w:r>
    <w:r>
      <w:rPr>
        <w:rFonts w:hint="eastAsia" w:ascii="Arial" w:hAnsi="Arial" w:cs="Arial"/>
        <w:sz w:val="16"/>
        <w:szCs w:val="16"/>
        <w:lang w:val="en-US" w:eastAsia="zh-CN"/>
      </w:rPr>
      <w:t xml:space="preserve">                       </w:t>
    </w:r>
    <w:r>
      <w:rPr>
        <w:rFonts w:hint="eastAsia" w:ascii="Arial" w:hAnsi="Arial" w:cs="Arial"/>
        <w:sz w:val="16"/>
        <w:szCs w:val="16"/>
      </w:rPr>
      <w:t xml:space="preserve">The Role of </w:t>
    </w:r>
    <w:r>
      <w:rPr>
        <w:rFonts w:hint="eastAsia" w:ascii="Arial" w:hAnsi="Arial" w:cs="Arial"/>
        <w:sz w:val="16"/>
        <w:szCs w:val="16"/>
        <w:lang w:val="en-US" w:eastAsia="zh-CN"/>
      </w:rPr>
      <w:t xml:space="preserve"> </w:t>
    </w:r>
    <w:r>
      <w:rPr>
        <w:rFonts w:hint="eastAsia" w:ascii="Arial" w:hAnsi="Arial" w:cs="Arial"/>
        <w:sz w:val="16"/>
        <w:szCs w:val="16"/>
      </w:rPr>
      <w:t>Neuroendoscopic Removal of</w:t>
    </w:r>
    <w:r>
      <w:rPr>
        <w:rFonts w:hint="eastAsia" w:ascii="Arial" w:hAnsi="Arial" w:cs="Arial"/>
        <w:sz w:val="16"/>
        <w:szCs w:val="16"/>
        <w:lang w:val="en-US" w:eastAsia="zh-CN"/>
      </w:rPr>
      <w:t xml:space="preserve"> </w:t>
    </w:r>
    <w:r>
      <w:rPr>
        <w:rFonts w:hint="eastAsia" w:ascii="Arial" w:hAnsi="Arial" w:cs="Arial"/>
        <w:sz w:val="16"/>
        <w:szCs w:val="16"/>
      </w:rPr>
      <w:t xml:space="preserve"> Hematomas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NDFmNTA5ZDk2OGU0NjQxMjQ0YzdlM2FkMzdjM2YifQ=="/>
  </w:docVars>
  <w:rsids>
    <w:rsidRoot w:val="00844B12"/>
    <w:rsid w:val="0000035E"/>
    <w:rsid w:val="00023330"/>
    <w:rsid w:val="00034B94"/>
    <w:rsid w:val="000445C3"/>
    <w:rsid w:val="000452A1"/>
    <w:rsid w:val="000532FD"/>
    <w:rsid w:val="000670F6"/>
    <w:rsid w:val="0008035F"/>
    <w:rsid w:val="000A6F5D"/>
    <w:rsid w:val="001315AC"/>
    <w:rsid w:val="00172ECF"/>
    <w:rsid w:val="001908BB"/>
    <w:rsid w:val="0019734D"/>
    <w:rsid w:val="001C6B5B"/>
    <w:rsid w:val="001E7220"/>
    <w:rsid w:val="001F56A1"/>
    <w:rsid w:val="00246F83"/>
    <w:rsid w:val="00255A3E"/>
    <w:rsid w:val="00273936"/>
    <w:rsid w:val="0027662C"/>
    <w:rsid w:val="00281930"/>
    <w:rsid w:val="0029492D"/>
    <w:rsid w:val="002A2579"/>
    <w:rsid w:val="002A26C8"/>
    <w:rsid w:val="002B2AE9"/>
    <w:rsid w:val="002D5DC9"/>
    <w:rsid w:val="00300ACD"/>
    <w:rsid w:val="00301045"/>
    <w:rsid w:val="00312530"/>
    <w:rsid w:val="00324BE3"/>
    <w:rsid w:val="0033414D"/>
    <w:rsid w:val="00343A57"/>
    <w:rsid w:val="0035059E"/>
    <w:rsid w:val="00357F73"/>
    <w:rsid w:val="00366B3C"/>
    <w:rsid w:val="003721CD"/>
    <w:rsid w:val="00372485"/>
    <w:rsid w:val="00373217"/>
    <w:rsid w:val="00380EEB"/>
    <w:rsid w:val="00382D63"/>
    <w:rsid w:val="003962AA"/>
    <w:rsid w:val="003A3B97"/>
    <w:rsid w:val="003B2C65"/>
    <w:rsid w:val="003B4D81"/>
    <w:rsid w:val="003C0DBD"/>
    <w:rsid w:val="003D08E0"/>
    <w:rsid w:val="003E2801"/>
    <w:rsid w:val="00407D23"/>
    <w:rsid w:val="00424962"/>
    <w:rsid w:val="004331F6"/>
    <w:rsid w:val="00437449"/>
    <w:rsid w:val="00456622"/>
    <w:rsid w:val="00464E25"/>
    <w:rsid w:val="0046686E"/>
    <w:rsid w:val="00471CCF"/>
    <w:rsid w:val="00482B61"/>
    <w:rsid w:val="004B3B16"/>
    <w:rsid w:val="004F51D5"/>
    <w:rsid w:val="004F7932"/>
    <w:rsid w:val="00503357"/>
    <w:rsid w:val="005272C0"/>
    <w:rsid w:val="0058437E"/>
    <w:rsid w:val="00584C27"/>
    <w:rsid w:val="005A7423"/>
    <w:rsid w:val="005B370C"/>
    <w:rsid w:val="005E40EC"/>
    <w:rsid w:val="00600E63"/>
    <w:rsid w:val="00604655"/>
    <w:rsid w:val="00624DAD"/>
    <w:rsid w:val="006406A3"/>
    <w:rsid w:val="00640C96"/>
    <w:rsid w:val="006550D8"/>
    <w:rsid w:val="006A733C"/>
    <w:rsid w:val="006A7E12"/>
    <w:rsid w:val="006B554C"/>
    <w:rsid w:val="006C4898"/>
    <w:rsid w:val="006D6F02"/>
    <w:rsid w:val="006E3CD0"/>
    <w:rsid w:val="006F6FBB"/>
    <w:rsid w:val="00700E89"/>
    <w:rsid w:val="00702EB9"/>
    <w:rsid w:val="00703F7D"/>
    <w:rsid w:val="00720591"/>
    <w:rsid w:val="00740968"/>
    <w:rsid w:val="0075274B"/>
    <w:rsid w:val="0075773D"/>
    <w:rsid w:val="00777876"/>
    <w:rsid w:val="00793034"/>
    <w:rsid w:val="007A5F53"/>
    <w:rsid w:val="007B7771"/>
    <w:rsid w:val="007C5DEF"/>
    <w:rsid w:val="007D2B6D"/>
    <w:rsid w:val="007E1B1A"/>
    <w:rsid w:val="0080174B"/>
    <w:rsid w:val="00804FC1"/>
    <w:rsid w:val="00844B12"/>
    <w:rsid w:val="0085261A"/>
    <w:rsid w:val="0087091B"/>
    <w:rsid w:val="008853CA"/>
    <w:rsid w:val="00886105"/>
    <w:rsid w:val="00886F28"/>
    <w:rsid w:val="008961C6"/>
    <w:rsid w:val="008A2600"/>
    <w:rsid w:val="008A5AF8"/>
    <w:rsid w:val="008B3750"/>
    <w:rsid w:val="008B7B21"/>
    <w:rsid w:val="008D36F5"/>
    <w:rsid w:val="008D68D6"/>
    <w:rsid w:val="008D6CBD"/>
    <w:rsid w:val="008F211B"/>
    <w:rsid w:val="008F6EB2"/>
    <w:rsid w:val="00902829"/>
    <w:rsid w:val="00915E27"/>
    <w:rsid w:val="00926856"/>
    <w:rsid w:val="00930ACD"/>
    <w:rsid w:val="00933DD2"/>
    <w:rsid w:val="00937E13"/>
    <w:rsid w:val="0097068A"/>
    <w:rsid w:val="00980ECC"/>
    <w:rsid w:val="009A5B0F"/>
    <w:rsid w:val="009B63CE"/>
    <w:rsid w:val="009C25E8"/>
    <w:rsid w:val="009D1A09"/>
    <w:rsid w:val="00A239A9"/>
    <w:rsid w:val="00A2415C"/>
    <w:rsid w:val="00A659F9"/>
    <w:rsid w:val="00A70FC4"/>
    <w:rsid w:val="00A74317"/>
    <w:rsid w:val="00A84011"/>
    <w:rsid w:val="00AC28E5"/>
    <w:rsid w:val="00AC6313"/>
    <w:rsid w:val="00AD0002"/>
    <w:rsid w:val="00AF7AD0"/>
    <w:rsid w:val="00B03971"/>
    <w:rsid w:val="00B246A1"/>
    <w:rsid w:val="00B413BE"/>
    <w:rsid w:val="00B47A98"/>
    <w:rsid w:val="00B551EC"/>
    <w:rsid w:val="00B55C5D"/>
    <w:rsid w:val="00B57A1C"/>
    <w:rsid w:val="00B866BF"/>
    <w:rsid w:val="00B86CAD"/>
    <w:rsid w:val="00B92960"/>
    <w:rsid w:val="00B951BD"/>
    <w:rsid w:val="00B9601B"/>
    <w:rsid w:val="00BB1E33"/>
    <w:rsid w:val="00BB736C"/>
    <w:rsid w:val="00BD3021"/>
    <w:rsid w:val="00BD3445"/>
    <w:rsid w:val="00BD731D"/>
    <w:rsid w:val="00BE2E4A"/>
    <w:rsid w:val="00BE3D3C"/>
    <w:rsid w:val="00BE4F1B"/>
    <w:rsid w:val="00BE54C7"/>
    <w:rsid w:val="00C02414"/>
    <w:rsid w:val="00C62BCB"/>
    <w:rsid w:val="00C63417"/>
    <w:rsid w:val="00C96749"/>
    <w:rsid w:val="00CD4907"/>
    <w:rsid w:val="00CD7A14"/>
    <w:rsid w:val="00CE1C4A"/>
    <w:rsid w:val="00CF31C3"/>
    <w:rsid w:val="00CF45A0"/>
    <w:rsid w:val="00D170C1"/>
    <w:rsid w:val="00D329CE"/>
    <w:rsid w:val="00D348F0"/>
    <w:rsid w:val="00D34CE9"/>
    <w:rsid w:val="00D4722E"/>
    <w:rsid w:val="00D537C0"/>
    <w:rsid w:val="00D543C5"/>
    <w:rsid w:val="00D82975"/>
    <w:rsid w:val="00D851E6"/>
    <w:rsid w:val="00D85649"/>
    <w:rsid w:val="00DB00EE"/>
    <w:rsid w:val="00DD0FD7"/>
    <w:rsid w:val="00DD66CD"/>
    <w:rsid w:val="00DE139C"/>
    <w:rsid w:val="00E021E0"/>
    <w:rsid w:val="00E04A76"/>
    <w:rsid w:val="00E12E01"/>
    <w:rsid w:val="00E226B0"/>
    <w:rsid w:val="00E26B69"/>
    <w:rsid w:val="00E27505"/>
    <w:rsid w:val="00E31B11"/>
    <w:rsid w:val="00E46763"/>
    <w:rsid w:val="00E554EC"/>
    <w:rsid w:val="00EC119D"/>
    <w:rsid w:val="00EE1151"/>
    <w:rsid w:val="00EF3A4D"/>
    <w:rsid w:val="00EF3C3F"/>
    <w:rsid w:val="00F234D3"/>
    <w:rsid w:val="00F24935"/>
    <w:rsid w:val="00F3125D"/>
    <w:rsid w:val="00F47EB6"/>
    <w:rsid w:val="00F67598"/>
    <w:rsid w:val="00FD3BEF"/>
    <w:rsid w:val="00FD5656"/>
    <w:rsid w:val="00FE3736"/>
    <w:rsid w:val="01213882"/>
    <w:rsid w:val="013A5BAB"/>
    <w:rsid w:val="01916C5A"/>
    <w:rsid w:val="019404F8"/>
    <w:rsid w:val="024C4027"/>
    <w:rsid w:val="027A149C"/>
    <w:rsid w:val="029B27CB"/>
    <w:rsid w:val="02C60B85"/>
    <w:rsid w:val="033C0E47"/>
    <w:rsid w:val="039C0BE0"/>
    <w:rsid w:val="03DE7BE8"/>
    <w:rsid w:val="04567CE7"/>
    <w:rsid w:val="05455025"/>
    <w:rsid w:val="062F259D"/>
    <w:rsid w:val="06815CF5"/>
    <w:rsid w:val="06EE6A65"/>
    <w:rsid w:val="07723089"/>
    <w:rsid w:val="07807554"/>
    <w:rsid w:val="09287EA3"/>
    <w:rsid w:val="096E162E"/>
    <w:rsid w:val="09A800A0"/>
    <w:rsid w:val="0A0718F5"/>
    <w:rsid w:val="0A9142F8"/>
    <w:rsid w:val="0AC9607D"/>
    <w:rsid w:val="0B2956C1"/>
    <w:rsid w:val="0B6A21C3"/>
    <w:rsid w:val="0B833EE2"/>
    <w:rsid w:val="0BA53A2D"/>
    <w:rsid w:val="0C1666D9"/>
    <w:rsid w:val="0C9D4705"/>
    <w:rsid w:val="0CE71E24"/>
    <w:rsid w:val="0D5648B3"/>
    <w:rsid w:val="0D8853B5"/>
    <w:rsid w:val="0D8A54C6"/>
    <w:rsid w:val="0E686F94"/>
    <w:rsid w:val="0E8F2773"/>
    <w:rsid w:val="0EBD1E80"/>
    <w:rsid w:val="0F505C09"/>
    <w:rsid w:val="0FC14BAE"/>
    <w:rsid w:val="104D6442"/>
    <w:rsid w:val="1093046C"/>
    <w:rsid w:val="10A64E23"/>
    <w:rsid w:val="119B4F8B"/>
    <w:rsid w:val="11A352D0"/>
    <w:rsid w:val="11FF09CD"/>
    <w:rsid w:val="12183B00"/>
    <w:rsid w:val="133A233B"/>
    <w:rsid w:val="13743CE5"/>
    <w:rsid w:val="137912FC"/>
    <w:rsid w:val="1519607F"/>
    <w:rsid w:val="16797F90"/>
    <w:rsid w:val="169134BC"/>
    <w:rsid w:val="16C3745D"/>
    <w:rsid w:val="182201B4"/>
    <w:rsid w:val="18716A45"/>
    <w:rsid w:val="188C387F"/>
    <w:rsid w:val="18A10C1E"/>
    <w:rsid w:val="18E772F1"/>
    <w:rsid w:val="198D3D53"/>
    <w:rsid w:val="19D52634"/>
    <w:rsid w:val="19F473B9"/>
    <w:rsid w:val="19FE255B"/>
    <w:rsid w:val="1A02204B"/>
    <w:rsid w:val="1A840CB2"/>
    <w:rsid w:val="1ADC1DF2"/>
    <w:rsid w:val="1ADC289C"/>
    <w:rsid w:val="1B0167A6"/>
    <w:rsid w:val="1B16695D"/>
    <w:rsid w:val="1B574618"/>
    <w:rsid w:val="1B8F3C94"/>
    <w:rsid w:val="1BC11A92"/>
    <w:rsid w:val="1BC55600"/>
    <w:rsid w:val="1BD67584"/>
    <w:rsid w:val="1BEC54E0"/>
    <w:rsid w:val="1C78576B"/>
    <w:rsid w:val="1CE73048"/>
    <w:rsid w:val="1CE7377A"/>
    <w:rsid w:val="1D8638A1"/>
    <w:rsid w:val="1E0904E9"/>
    <w:rsid w:val="1E472722"/>
    <w:rsid w:val="1E935967"/>
    <w:rsid w:val="1F066139"/>
    <w:rsid w:val="1F1F544D"/>
    <w:rsid w:val="1F385C1C"/>
    <w:rsid w:val="1F6D2720"/>
    <w:rsid w:val="204D5FEA"/>
    <w:rsid w:val="207D68CF"/>
    <w:rsid w:val="21937A2C"/>
    <w:rsid w:val="21EC7844"/>
    <w:rsid w:val="22082E5F"/>
    <w:rsid w:val="2246183E"/>
    <w:rsid w:val="232E2103"/>
    <w:rsid w:val="238166D6"/>
    <w:rsid w:val="23F8626D"/>
    <w:rsid w:val="242157C3"/>
    <w:rsid w:val="25F56F08"/>
    <w:rsid w:val="261326D8"/>
    <w:rsid w:val="26B7240F"/>
    <w:rsid w:val="26DE174A"/>
    <w:rsid w:val="27710810"/>
    <w:rsid w:val="279D7857"/>
    <w:rsid w:val="27C13545"/>
    <w:rsid w:val="27F82CDF"/>
    <w:rsid w:val="28871BF5"/>
    <w:rsid w:val="28A21AC1"/>
    <w:rsid w:val="297D16EE"/>
    <w:rsid w:val="29807EDD"/>
    <w:rsid w:val="29D104B5"/>
    <w:rsid w:val="2A3224D8"/>
    <w:rsid w:val="2AAA5A29"/>
    <w:rsid w:val="2AC45712"/>
    <w:rsid w:val="2AF21C68"/>
    <w:rsid w:val="2B1D7E41"/>
    <w:rsid w:val="2B7A0C0D"/>
    <w:rsid w:val="2BE9306B"/>
    <w:rsid w:val="2C1A182F"/>
    <w:rsid w:val="2C8B2374"/>
    <w:rsid w:val="2D12039F"/>
    <w:rsid w:val="2D1442E2"/>
    <w:rsid w:val="2D597C88"/>
    <w:rsid w:val="2DC773DC"/>
    <w:rsid w:val="2DD6761F"/>
    <w:rsid w:val="2E130839"/>
    <w:rsid w:val="2E642E7C"/>
    <w:rsid w:val="2EAF3D72"/>
    <w:rsid w:val="2FE9188B"/>
    <w:rsid w:val="301663F8"/>
    <w:rsid w:val="302D5F76"/>
    <w:rsid w:val="31BE5FD0"/>
    <w:rsid w:val="33527747"/>
    <w:rsid w:val="33E17357"/>
    <w:rsid w:val="34747AB4"/>
    <w:rsid w:val="34F165B7"/>
    <w:rsid w:val="35215623"/>
    <w:rsid w:val="352D5BCD"/>
    <w:rsid w:val="35305392"/>
    <w:rsid w:val="354D466A"/>
    <w:rsid w:val="3598340C"/>
    <w:rsid w:val="35FF4A5B"/>
    <w:rsid w:val="36B35E10"/>
    <w:rsid w:val="36B50719"/>
    <w:rsid w:val="36E9776F"/>
    <w:rsid w:val="36F32FEF"/>
    <w:rsid w:val="37145697"/>
    <w:rsid w:val="377836DA"/>
    <w:rsid w:val="37F4701F"/>
    <w:rsid w:val="381C6C88"/>
    <w:rsid w:val="38241593"/>
    <w:rsid w:val="382D0783"/>
    <w:rsid w:val="387A39BB"/>
    <w:rsid w:val="39777F08"/>
    <w:rsid w:val="39BC3B6C"/>
    <w:rsid w:val="39E9692C"/>
    <w:rsid w:val="39F4058D"/>
    <w:rsid w:val="3B154354"/>
    <w:rsid w:val="3B2920C2"/>
    <w:rsid w:val="3B312338"/>
    <w:rsid w:val="3B6A3AD8"/>
    <w:rsid w:val="3C4F5758"/>
    <w:rsid w:val="3C9C5ED7"/>
    <w:rsid w:val="3CA87047"/>
    <w:rsid w:val="3CDA5184"/>
    <w:rsid w:val="3D4520CB"/>
    <w:rsid w:val="3D7C57F1"/>
    <w:rsid w:val="3D8C7CFA"/>
    <w:rsid w:val="3D9372DA"/>
    <w:rsid w:val="3DDA2813"/>
    <w:rsid w:val="3E842ABA"/>
    <w:rsid w:val="3E9A4EC8"/>
    <w:rsid w:val="3EA64DEB"/>
    <w:rsid w:val="3EB20FCF"/>
    <w:rsid w:val="3F966C0E"/>
    <w:rsid w:val="3FC4706B"/>
    <w:rsid w:val="3FCE0DE9"/>
    <w:rsid w:val="3FE1257F"/>
    <w:rsid w:val="40330901"/>
    <w:rsid w:val="403E177F"/>
    <w:rsid w:val="40C924BF"/>
    <w:rsid w:val="40E85B0E"/>
    <w:rsid w:val="40F462E2"/>
    <w:rsid w:val="41270465"/>
    <w:rsid w:val="41931657"/>
    <w:rsid w:val="436C5CAC"/>
    <w:rsid w:val="437454B8"/>
    <w:rsid w:val="443F1622"/>
    <w:rsid w:val="449821D5"/>
    <w:rsid w:val="45244CBC"/>
    <w:rsid w:val="458D0AB3"/>
    <w:rsid w:val="45C81495"/>
    <w:rsid w:val="46827EEC"/>
    <w:rsid w:val="46EE2D2B"/>
    <w:rsid w:val="4737651E"/>
    <w:rsid w:val="47406642"/>
    <w:rsid w:val="47773BE1"/>
    <w:rsid w:val="47D62200"/>
    <w:rsid w:val="4816696C"/>
    <w:rsid w:val="48E56510"/>
    <w:rsid w:val="48F14EB5"/>
    <w:rsid w:val="4ACF1226"/>
    <w:rsid w:val="4B026CBA"/>
    <w:rsid w:val="4B6D0D61"/>
    <w:rsid w:val="4BB04CFE"/>
    <w:rsid w:val="4C3C09BB"/>
    <w:rsid w:val="4C4D4AF8"/>
    <w:rsid w:val="4C896448"/>
    <w:rsid w:val="4C9F50BC"/>
    <w:rsid w:val="4CF11927"/>
    <w:rsid w:val="4D0C339F"/>
    <w:rsid w:val="4DB95DBA"/>
    <w:rsid w:val="4DCE1C69"/>
    <w:rsid w:val="4E4C150B"/>
    <w:rsid w:val="4E5B174E"/>
    <w:rsid w:val="4EA21AFA"/>
    <w:rsid w:val="4EDB463D"/>
    <w:rsid w:val="4FAB5B5A"/>
    <w:rsid w:val="4FE13ED5"/>
    <w:rsid w:val="50097D14"/>
    <w:rsid w:val="508825A3"/>
    <w:rsid w:val="50A078EC"/>
    <w:rsid w:val="50E0418D"/>
    <w:rsid w:val="51051E45"/>
    <w:rsid w:val="51230ABD"/>
    <w:rsid w:val="51BA20E7"/>
    <w:rsid w:val="51F83758"/>
    <w:rsid w:val="530E7440"/>
    <w:rsid w:val="53964FD7"/>
    <w:rsid w:val="53A93E47"/>
    <w:rsid w:val="53BB764F"/>
    <w:rsid w:val="542B7539"/>
    <w:rsid w:val="543D36A4"/>
    <w:rsid w:val="544838F9"/>
    <w:rsid w:val="54AF45A2"/>
    <w:rsid w:val="54BC0A6D"/>
    <w:rsid w:val="54C842F3"/>
    <w:rsid w:val="54DB5397"/>
    <w:rsid w:val="54DD7B5F"/>
    <w:rsid w:val="550167C3"/>
    <w:rsid w:val="5531066C"/>
    <w:rsid w:val="555B1B1C"/>
    <w:rsid w:val="55F4231A"/>
    <w:rsid w:val="56C105BC"/>
    <w:rsid w:val="57A56CA4"/>
    <w:rsid w:val="57DE6F4C"/>
    <w:rsid w:val="585D78D3"/>
    <w:rsid w:val="58B33F35"/>
    <w:rsid w:val="59CF4553"/>
    <w:rsid w:val="59F4111D"/>
    <w:rsid w:val="5A1B1B1B"/>
    <w:rsid w:val="5A2438B7"/>
    <w:rsid w:val="5A345634"/>
    <w:rsid w:val="5A7122F9"/>
    <w:rsid w:val="5A917B93"/>
    <w:rsid w:val="5B1D49E8"/>
    <w:rsid w:val="5B557DAA"/>
    <w:rsid w:val="5B714424"/>
    <w:rsid w:val="5CE0290D"/>
    <w:rsid w:val="5D6677C8"/>
    <w:rsid w:val="5E201B56"/>
    <w:rsid w:val="5E6A7E0A"/>
    <w:rsid w:val="5ECA2749"/>
    <w:rsid w:val="5EF03F1E"/>
    <w:rsid w:val="601F717E"/>
    <w:rsid w:val="606B69D6"/>
    <w:rsid w:val="60D0527F"/>
    <w:rsid w:val="61025A59"/>
    <w:rsid w:val="610E43FE"/>
    <w:rsid w:val="6192502F"/>
    <w:rsid w:val="61EB473F"/>
    <w:rsid w:val="62822CA3"/>
    <w:rsid w:val="631E2B3E"/>
    <w:rsid w:val="63D62206"/>
    <w:rsid w:val="63FD327C"/>
    <w:rsid w:val="63FE4BFE"/>
    <w:rsid w:val="64222DCB"/>
    <w:rsid w:val="643C5ECA"/>
    <w:rsid w:val="64715C24"/>
    <w:rsid w:val="647629E6"/>
    <w:rsid w:val="65011C14"/>
    <w:rsid w:val="66C3780C"/>
    <w:rsid w:val="66F146C9"/>
    <w:rsid w:val="672C2A5E"/>
    <w:rsid w:val="674D3E1E"/>
    <w:rsid w:val="67780823"/>
    <w:rsid w:val="67925D89"/>
    <w:rsid w:val="68046C31"/>
    <w:rsid w:val="68447EF6"/>
    <w:rsid w:val="68471D45"/>
    <w:rsid w:val="68540A4A"/>
    <w:rsid w:val="68995135"/>
    <w:rsid w:val="68BC6E36"/>
    <w:rsid w:val="68E63310"/>
    <w:rsid w:val="69930F7B"/>
    <w:rsid w:val="6AA3205B"/>
    <w:rsid w:val="6AC81AC2"/>
    <w:rsid w:val="6B5559B8"/>
    <w:rsid w:val="6C3975C0"/>
    <w:rsid w:val="6C3B62C3"/>
    <w:rsid w:val="6DCF4F15"/>
    <w:rsid w:val="6E182D60"/>
    <w:rsid w:val="6E3F653F"/>
    <w:rsid w:val="6E445240"/>
    <w:rsid w:val="6F122FD7"/>
    <w:rsid w:val="6F621983"/>
    <w:rsid w:val="6FDA1B8C"/>
    <w:rsid w:val="70E13DD1"/>
    <w:rsid w:val="70FC3110"/>
    <w:rsid w:val="710567DF"/>
    <w:rsid w:val="712F289B"/>
    <w:rsid w:val="71A5490B"/>
    <w:rsid w:val="71AC3EEB"/>
    <w:rsid w:val="72D60AF4"/>
    <w:rsid w:val="737447B3"/>
    <w:rsid w:val="73BE334D"/>
    <w:rsid w:val="73E57241"/>
    <w:rsid w:val="73F41B79"/>
    <w:rsid w:val="74B31C0B"/>
    <w:rsid w:val="75181898"/>
    <w:rsid w:val="756248C1"/>
    <w:rsid w:val="756C5C5A"/>
    <w:rsid w:val="75B7709C"/>
    <w:rsid w:val="76493F18"/>
    <w:rsid w:val="764D505D"/>
    <w:rsid w:val="76971D67"/>
    <w:rsid w:val="769E1B5A"/>
    <w:rsid w:val="773E79F2"/>
    <w:rsid w:val="779C1A58"/>
    <w:rsid w:val="789456D9"/>
    <w:rsid w:val="790A599B"/>
    <w:rsid w:val="79551BEE"/>
    <w:rsid w:val="79CD2C51"/>
    <w:rsid w:val="7A0423EA"/>
    <w:rsid w:val="7A242C86"/>
    <w:rsid w:val="7A626FB6"/>
    <w:rsid w:val="7A9B5B87"/>
    <w:rsid w:val="7A9E0896"/>
    <w:rsid w:val="7B0C1ABD"/>
    <w:rsid w:val="7BC97238"/>
    <w:rsid w:val="7BF24BF0"/>
    <w:rsid w:val="7C1F175E"/>
    <w:rsid w:val="7CB02130"/>
    <w:rsid w:val="7CEF7380"/>
    <w:rsid w:val="7D76640E"/>
    <w:rsid w:val="7F855D7C"/>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styleId="10">
    <w:name w:val="Placeholder Text"/>
    <w:basedOn w:val="6"/>
    <w:semiHidden/>
    <w:qFormat/>
    <w:uiPriority w:val="99"/>
    <w:rPr>
      <w:color w:val="808080"/>
    </w:r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批注框文本 字符"/>
    <w:basedOn w:val="6"/>
    <w:link w:val="2"/>
    <w:semiHidden/>
    <w:qFormat/>
    <w:uiPriority w:val="99"/>
    <w:rPr>
      <w:rFonts w:asciiTheme="minorHAnsi" w:hAnsiTheme="minorHAnsi" w:eastAsiaTheme="minorEastAsia" w:cstheme="minorBidi"/>
      <w:kern w:val="2"/>
      <w:sz w:val="18"/>
      <w:szCs w:val="18"/>
    </w:rPr>
  </w:style>
  <w:style w:type="paragraph" w:customStyle="1" w:styleId="1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45C26-7348-4CB0-888A-59522C2D5D76}">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2693</Words>
  <Characters>15275</Characters>
  <Lines>128</Lines>
  <Paragraphs>36</Paragraphs>
  <TotalTime>3</TotalTime>
  <ScaleCrop>false</ScaleCrop>
  <LinksUpToDate>false</LinksUpToDate>
  <CharactersWithSpaces>17749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2022-03-17T05:57:00Z</dcterms:created>
  <dc:creator>Administrator</dc:creator>
  <cp:lastModifiedBy>Administrator</cp:lastModifiedBy>
  <cp:lastPrinted>2022-03-17T05:56:00Z</cp:lastPrinted>
  <dcterms:modified xsi:type="dcterms:W3CDTF">2023-11-29T06:55:48Z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AB14370B73F140038EAA10070985C2BF</vt:lpwstr>
  </property>
</Properties>
</file>